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5.png" ContentType="image/png"/>
  <Override PartName="/word/media/image3.jpeg" ContentType="image/jpeg"/>
  <Override PartName="/word/media/image4.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w="http://schemas.openxmlformats.org/wordprocessingml/2006/main"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Western"/>
        <w:spacing w:after="0" w:before="0" w:line="240" w:lineRule="auto"/>
        <w:ind w:hanging="0" w:left="0" w:right="0"/>
        <w:jc w:val="center"/>
        <w:rPr/>
      </w:pPr>
      <w:r>
        <w:rPr/>
        <w:t xml:space="preserve">                 </w:t>
      </w:r>
      <w:r>
        <w:rPr/>
        <w:drawing>
          <wp:inline distB="0" distL="0" distR="0" distT="0">
            <wp:extent cx="748030" cy="654050"/>
            <wp:effectExtent b="0" l="0" r="0" t="0"/>
            <wp:docPr desc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Figura1"/>
                    <pic:cNvPicPr>
                      <a:picLocks noChangeArrowheads="1" noChangeAspect="1"/>
                    </pic:cNvPicPr>
                  </pic:nvPicPr>
                  <pic:blipFill>
                    <a:blip r:embed="rId2"/>
                    <a:stretch>
                      <a:fillRect/>
                    </a:stretch>
                  </pic:blipFill>
                  <pic:spPr bwMode="auto">
                    <a:xfrm>
                      <a:off x="0" y="0"/>
                      <a:ext cx="748030" cy="654050"/>
                    </a:xfrm>
                    <a:prstGeom prst="rect">
                      <a:avLst/>
                    </a:prstGeom>
                  </pic:spPr>
                </pic:pic>
              </a:graphicData>
            </a:graphic>
          </wp:inline>
        </w:drawing>
      </w:r>
    </w:p>
    <w:p>
      <w:pPr>
        <w:pStyle w:val="Western"/>
        <w:spacing w:after="0" w:before="0" w:line="240" w:lineRule="auto"/>
        <w:jc w:val="center"/>
        <w:rPr/>
      </w:pPr>
      <w:r>
        <w:rPr>
          <w:rFonts w:cs="Arial"/>
          <w:b/>
          <w:bCs/>
          <w:szCs w:val="24"/>
        </w:rPr>
        <w:t>MINISTÉRIO DA DEFESA</w:t>
      </w:r>
    </w:p>
    <w:p>
      <w:pPr>
        <w:pStyle w:val="Western"/>
        <w:spacing w:after="0" w:before="0" w:line="240" w:lineRule="auto"/>
        <w:jc w:val="center"/>
        <w:rPr/>
      </w:pPr>
      <w:r>
        <w:rPr>
          <w:rFonts w:cs="Arial"/>
          <w:b/>
          <w:bCs/>
          <w:szCs w:val="24"/>
        </w:rPr>
        <w:t>EXÉRCITO BRASILEIRO</w:t>
      </w:r>
    </w:p>
    <w:p>
      <w:pPr>
        <w:pStyle w:val="Western"/>
        <w:spacing w:after="0" w:before="0" w:line="240" w:lineRule="auto"/>
        <w:jc w:val="center"/>
        <w:rPr/>
      </w:pPr>
      <w:r>
        <w:rPr>
          <w:rFonts w:cs="Arial"/>
          <w:b/>
          <w:bCs/>
          <w:szCs w:val="24"/>
        </w:rPr>
        <w:t>COMANDO DA 1ª REGIÃO MILITAR</w:t>
      </w:r>
    </w:p>
    <w:p>
      <w:pPr>
        <w:pStyle w:val="Western"/>
        <w:spacing w:after="0" w:before="0" w:line="240" w:lineRule="auto"/>
        <w:jc w:val="center"/>
        <w:rPr/>
      </w:pPr>
      <w:r>
        <w:rPr>
          <w:rFonts w:cs="Arial"/>
          <w:b/>
          <w:bCs/>
          <w:szCs w:val="24"/>
        </w:rPr>
        <w:t>(</w:t>
      </w:r>
      <w:r>
        <w:rPr>
          <w:rFonts w:cs="Arial"/>
          <w:b/>
          <w:bCs/>
          <w:szCs w:val="24"/>
          <w:u w:val="single"/>
        </w:rPr>
        <w:t>4º Dist Mil/1891</w:t>
      </w:r>
      <w:r>
        <w:rPr>
          <w:rFonts w:cs="Arial"/>
          <w:b/>
          <w:bCs/>
          <w:szCs w:val="24"/>
        </w:rPr>
        <w:t>)</w:t>
      </w:r>
    </w:p>
    <w:p>
      <w:pPr>
        <w:pStyle w:val="Western"/>
        <w:spacing w:after="0" w:before="0" w:line="240" w:lineRule="auto"/>
        <w:ind w:hanging="0" w:left="0" w:right="-17"/>
        <w:jc w:val="center"/>
        <w:rPr>
          <w:rFonts w:ascii="TiMES NEW ROMAN" w:hAnsi="TiMES NEW ROMAN"/>
          <w:b/>
          <w:b/>
          <w:sz w:val="24"/>
          <w:szCs w:val="24"/>
        </w:rPr>
      </w:pPr>
      <w:r>
        <mc:AlternateContent>
          <mc:Choice Requires="wps">
            <w:drawing>
              <wp:anchor allowOverlap="1" behindDoc="0" distB="0" distL="0" distR="0" distT="0" layoutInCell="1" locked="0" relativeHeight="2" simplePos="0">
                <wp:simplePos x="0" y="0"/>
                <wp:positionH relativeFrom="column">
                  <wp:posOffset>635</wp:posOffset>
                </wp:positionH>
                <wp:positionV relativeFrom="paragraph">
                  <wp:posOffset>635</wp:posOffset>
                </wp:positionV>
                <wp:extent cx="645795" cy="645795"/>
                <wp:effectExtent b="0" l="0" r="0" t="0"/>
                <wp:wrapNone/>
                <wp:docPr id="2" name="shapetype_ole_rId2"/>
                <a:graphic xmlns:a="http://schemas.openxmlformats.org/drawingml/2006/main">
                  <a:graphicData uri="http://schemas.microsoft.com/office/word/2010/wordprocessingShape">
                    <wps:wsp>
                      <wps:cNvSpPr/>
                      <wps:spPr>
                        <a:xfrm>
                          <a:off x="0" y="0"/>
                          <a:ext cx="645120" cy="645120"/>
                        </a:xfrm>
                        <a:prstGeom prst="rect">
                          <a:avLst/>
                        </a:prstGeom>
                        <a:noFill/>
                        <a:ln>
                          <a:noFill/>
                        </a:ln>
                      </wps:spPr>
                      <wps:style>
                        <a:lnRef idx="0"/>
                        <a:fillRef idx="0"/>
                        <a:effectRef idx="0"/>
                        <a:fontRef idx="minor"/>
                      </wps:style>
                      <wps:bodyPr/>
                    </wps:wsp>
                  </a:graphicData>
                </a:graphic>
              </wp:anchor>
            </w:drawing>
          </mc:Choice>
        </mc:AlternateContent>
      </w:r>
      <w:r>
        <w:rPr>
          <w:rFonts w:ascii="TiMES NEW ROMAN" w:cs="Arial" w:hAnsi="TiMES NEW ROMAN"/>
          <w:b/>
          <w:bCs/>
          <w:sz w:val="24"/>
          <w:szCs w:val="24"/>
        </w:rPr>
        <w:t xml:space="preserve">                    </w:t>
      </w:r>
      <w:r>
        <w:rPr>
          <w:rFonts w:ascii="TiMES NEW ROMAN" w:cs="Arial" w:hAnsi="TiMES NEW ROMAN"/>
          <w:b/>
          <w:bCs/>
          <w:sz w:val="24"/>
          <w:szCs w:val="24"/>
        </w:rPr>
        <w:t>Região Marechal Hermes da Fonseca</w:t>
      </w:r>
    </w:p>
    <w:p>
      <w:pPr>
        <w:pStyle w:val="Western"/>
        <w:spacing w:after="0" w:before="0" w:line="240" w:lineRule="auto"/>
        <w:ind w:hanging="0" w:left="0" w:right="-17"/>
        <w:jc w:val="center"/>
        <w:rPr>
          <w:rFonts w:cs="Arial"/>
          <w:bCs/>
        </w:rPr>
      </w:pPr>
      <w:r>
        <w:rPr>
          <w:rFonts w:cs="Arial"/>
          <w:bCs/>
        </w:rPr>
      </w:r>
    </w:p>
    <w:p>
      <w:pPr>
        <w:pStyle w:val="NormalWeb"/>
        <w:spacing w:after="360" w:before="480" w:line="240" w:lineRule="auto"/>
        <w:ind w:hanging="0" w:left="0" w:right="0"/>
        <w:jc w:val="center"/>
        <w:rPr/>
      </w:pPr>
      <w:r>
        <w:rPr>
          <w:rFonts w:ascii="TiMES NEW ROMAN" w:hAnsi="TiMES NEW ROMAN"/>
          <w:b/>
          <w:sz w:val="24"/>
          <w:szCs w:val="24"/>
        </w:rPr>
        <w:t>COMPOSIÇÃO DO BDI DESONERADO</w:t>
      </w:r>
    </w:p>
    <w:p>
      <w:pPr>
        <w:pStyle w:val="NormalWeb"/>
        <w:spacing w:after="0" w:before="0" w:line="240" w:lineRule="auto"/>
        <w:ind w:hanging="0" w:left="0" w:right="0"/>
        <w:rPr/>
      </w:pPr>
      <w:r>
        <w:rPr/>
      </w:r>
    </w:p>
    <w:tbl>
      <w:tblPr>
        <w:tblW w:type="dxa" w:w="9913"/>
        <w:jc w:val="center"/>
        <w:tblInd w:type="dxa" w:w="0"/>
        <w:tblCellMar>
          <w:top w:type="dxa" w:w="0"/>
          <w:left w:type="dxa" w:w="60"/>
          <w:bottom w:type="dxa" w:w="0"/>
          <w:right w:type="dxa" w:w="70"/>
        </w:tblCellMar>
      </w:tblPr>
      <w:tblGrid>
        <w:gridCol w:w="2022"/>
        <w:gridCol w:w="2153"/>
        <w:gridCol w:w="2775"/>
        <w:gridCol w:w="2962"/>
      </w:tblGrid>
      <w:tr>
        <w:trPr>
          <w:trHeight w:hRule="atLeast" w:val="20"/>
        </w:trPr>
        <w:tc>
          <w:tcPr>
            <w:tcW w:type="dxa" w:w="2022"/>
            <w:tcBorders>
              <w:top w:color="000001" w:space="0" w:sz="4" w:val="single"/>
              <w:left w:color="000001" w:space="0" w:sz="4" w:val="single"/>
              <w:bottom w:color="000001" w:space="0" w:sz="4" w:val="single"/>
              <w:right w:color="000001" w:space="0" w:sz="4" w:val="single"/>
            </w:tcBorders>
            <w:shd w:fill="99CCFF" w:val="clear"/>
            <w:vAlign w:val="center"/>
          </w:tcPr>
          <w:p>
            <w:pPr>
              <w:pStyle w:val="NoSpacing"/>
              <w:widowControl w:val="false"/>
              <w:jc w:val="center"/>
              <w:rPr/>
            </w:pPr>
            <w:r>
              <w:rPr>
                <w:rFonts w:ascii="TiMES NEW ROMAN" w:hAnsi="TiMES NEW ROMAN"/>
                <w:b/>
                <w:sz w:val="22"/>
                <w:szCs w:val="22"/>
              </w:rPr>
              <w:t>ITEM</w:t>
            </w:r>
          </w:p>
        </w:tc>
        <w:tc>
          <w:tcPr>
            <w:tcW w:type="dxa" w:w="2153"/>
            <w:tcBorders>
              <w:top w:color="000001" w:space="0" w:sz="4" w:val="single"/>
              <w:left w:color="000001" w:space="0" w:sz="4" w:val="single"/>
              <w:bottom w:color="000001" w:space="0" w:sz="4" w:val="single"/>
              <w:right w:color="000001" w:space="0" w:sz="4" w:val="single"/>
            </w:tcBorders>
            <w:shd w:fill="99CCFF" w:val="clear"/>
            <w:vAlign w:val="center"/>
          </w:tcPr>
          <w:p>
            <w:pPr>
              <w:pStyle w:val="NoSpacing"/>
              <w:widowControl w:val="false"/>
              <w:jc w:val="center"/>
              <w:rPr/>
            </w:pPr>
            <w:r>
              <w:rPr>
                <w:rFonts w:ascii="TiMES NEW ROMAN" w:hAnsi="TiMES NEW ROMAN"/>
                <w:b/>
                <w:sz w:val="22"/>
                <w:szCs w:val="22"/>
              </w:rPr>
              <w:t>DESCRIÇÃO</w:t>
            </w:r>
          </w:p>
        </w:tc>
        <w:tc>
          <w:tcPr>
            <w:tcW w:type="dxa" w:w="2775"/>
            <w:tcBorders>
              <w:top w:color="000001" w:space="0" w:sz="4" w:val="single"/>
              <w:left w:color="000001" w:space="0" w:sz="4" w:val="single"/>
              <w:bottom w:color="000001" w:space="0" w:sz="4" w:val="single"/>
              <w:right w:color="000001" w:space="0" w:sz="4" w:val="single"/>
            </w:tcBorders>
            <w:shd w:fill="99CCFF" w:val="clear"/>
            <w:vAlign w:val="center"/>
          </w:tcPr>
          <w:p>
            <w:pPr>
              <w:pStyle w:val="NoSpacing"/>
              <w:widowControl w:val="false"/>
              <w:jc w:val="center"/>
              <w:rPr/>
            </w:pPr>
            <w:r>
              <w:rPr>
                <w:rFonts w:ascii="TiMES NEW ROMAN" w:hAnsi="TiMES NEW ROMAN"/>
                <w:b/>
                <w:sz w:val="22"/>
                <w:szCs w:val="22"/>
              </w:rPr>
              <w:t>Conforme (%) Acórdão TCU 2.622/2013 – Plenário</w:t>
            </w:r>
          </w:p>
        </w:tc>
        <w:tc>
          <w:tcPr>
            <w:tcW w:type="dxa" w:w="2962"/>
            <w:tcBorders>
              <w:top w:color="000001" w:space="0" w:sz="4" w:val="single"/>
              <w:left w:color="000001" w:space="0" w:sz="4" w:val="single"/>
              <w:bottom w:color="000001" w:space="0" w:sz="4" w:val="single"/>
              <w:right w:color="000001" w:space="0" w:sz="4" w:val="single"/>
            </w:tcBorders>
            <w:shd w:fill="99CCFF" w:val="clear"/>
            <w:vAlign w:val="center"/>
          </w:tcPr>
          <w:p>
            <w:pPr>
              <w:pStyle w:val="NoSpacing"/>
              <w:widowControl w:val="false"/>
              <w:jc w:val="center"/>
              <w:rPr/>
            </w:pPr>
            <w:r>
              <w:rPr>
                <w:rFonts w:ascii="TiMES NEW ROMAN" w:hAnsi="TiMES NEW ROMAN"/>
                <w:b/>
                <w:sz w:val="22"/>
                <w:szCs w:val="22"/>
              </w:rPr>
              <w:t>PARA AQUISIÇÃO DE EQUIPAMENTOS (%) Acórdão TCU 2.622/2013 – Plenário</w:t>
            </w:r>
          </w:p>
        </w:tc>
      </w:tr>
      <w:tr>
        <w:trPr>
          <w:trHeight w:hRule="atLeast" w:val="20"/>
        </w:trPr>
        <w:tc>
          <w:tcPr>
            <w:tcW w:type="dxa" w:w="2022"/>
            <w:tcBorders>
              <w:top w:color="000001" w:space="0" w:sz="4" w:val="single"/>
              <w:left w:color="000001" w:space="0" w:sz="8" w:val="single"/>
              <w:bottom w:color="000001" w:space="0" w:sz="4" w:val="single"/>
              <w:right w:color="000001" w:space="0" w:sz="4" w:val="single"/>
            </w:tcBorders>
            <w:shd w:fill="auto" w:val="clear"/>
            <w:tcMar>
              <w:left w:type="dxa" w:w="45"/>
            </w:tcMar>
            <w:vAlign w:val="center"/>
          </w:tcPr>
          <w:p>
            <w:pPr>
              <w:pStyle w:val="NoSpacing"/>
              <w:widowControl w:val="false"/>
              <w:jc w:val="center"/>
              <w:rPr/>
            </w:pPr>
            <w:r>
              <w:rPr>
                <w:rFonts w:ascii="TiMES NEW ROMAN" w:hAnsi="TiMES NEW ROMAN"/>
                <w:sz w:val="22"/>
                <w:szCs w:val="22"/>
              </w:rPr>
              <w:t>01</w:t>
            </w:r>
          </w:p>
        </w:tc>
        <w:tc>
          <w:tcPr>
            <w:tcW w:type="dxa" w:w="2153"/>
            <w:tcBorders>
              <w:top w:color="000001" w:space="0" w:sz="4" w:val="single"/>
              <w:left w:color="000001" w:space="0" w:sz="4" w:val="single"/>
              <w:bottom w:color="000001" w:space="0" w:sz="4" w:val="single"/>
              <w:right w:color="000001" w:space="0" w:sz="4" w:val="single"/>
            </w:tcBorders>
            <w:shd w:fill="auto" w:val="clear"/>
            <w:vAlign w:val="center"/>
          </w:tcPr>
          <w:p>
            <w:pPr>
              <w:pStyle w:val="NoSpacing"/>
              <w:widowControl w:val="false"/>
              <w:jc w:val="center"/>
              <w:rPr/>
            </w:pPr>
            <w:r>
              <w:rPr>
                <w:rFonts w:ascii="TiMES NEW ROMAN" w:hAnsi="TiMES NEW ROMAN"/>
                <w:sz w:val="22"/>
                <w:szCs w:val="22"/>
              </w:rPr>
              <w:t>Administração Central</w:t>
            </w:r>
          </w:p>
        </w:tc>
        <w:tc>
          <w:tcPr>
            <w:tcW w:type="dxa" w:w="2775"/>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4,50</w:t>
            </w:r>
          </w:p>
        </w:tc>
        <w:tc>
          <w:tcPr>
            <w:tcW w:type="dxa" w:w="2962"/>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2,50</w:t>
            </w:r>
          </w:p>
        </w:tc>
      </w:tr>
      <w:tr>
        <w:trPr>
          <w:trHeight w:hRule="atLeast" w:val="20"/>
        </w:trPr>
        <w:tc>
          <w:tcPr>
            <w:tcW w:type="dxa" w:w="2022"/>
            <w:tcBorders>
              <w:top w:color="000001" w:space="0" w:sz="4" w:val="single"/>
              <w:left w:color="000001" w:space="0" w:sz="8" w:val="single"/>
              <w:bottom w:color="000001" w:space="0" w:sz="4" w:val="single"/>
              <w:right w:color="000001" w:space="0" w:sz="4" w:val="single"/>
            </w:tcBorders>
            <w:shd w:fill="auto" w:val="clear"/>
            <w:tcMar>
              <w:left w:type="dxa" w:w="45"/>
            </w:tcMar>
            <w:vAlign w:val="center"/>
          </w:tcPr>
          <w:p>
            <w:pPr>
              <w:pStyle w:val="NoSpacing"/>
              <w:widowControl w:val="false"/>
              <w:jc w:val="center"/>
              <w:rPr/>
            </w:pPr>
            <w:r>
              <w:rPr>
                <w:rFonts w:ascii="TiMES NEW ROMAN" w:hAnsi="TiMES NEW ROMAN"/>
                <w:sz w:val="22"/>
                <w:szCs w:val="22"/>
              </w:rPr>
              <w:t>02</w:t>
            </w:r>
          </w:p>
        </w:tc>
        <w:tc>
          <w:tcPr>
            <w:tcW w:type="dxa" w:w="2153"/>
            <w:tcBorders>
              <w:top w:color="000001" w:space="0" w:sz="4" w:val="single"/>
              <w:left w:color="000001" w:space="0" w:sz="4" w:val="single"/>
              <w:bottom w:color="000001" w:space="0" w:sz="4" w:val="single"/>
              <w:right w:color="000001" w:space="0" w:sz="4" w:val="single"/>
            </w:tcBorders>
            <w:shd w:fill="auto" w:val="clear"/>
            <w:vAlign w:val="center"/>
          </w:tcPr>
          <w:p>
            <w:pPr>
              <w:pStyle w:val="NoSpacing"/>
              <w:widowControl w:val="false"/>
              <w:jc w:val="center"/>
              <w:rPr/>
            </w:pPr>
            <w:r>
              <w:rPr>
                <w:rFonts w:ascii="TiMES NEW ROMAN" w:hAnsi="TiMES NEW ROMAN"/>
                <w:sz w:val="22"/>
                <w:szCs w:val="22"/>
              </w:rPr>
              <w:t>Garantia + Seguros</w:t>
            </w:r>
          </w:p>
        </w:tc>
        <w:tc>
          <w:tcPr>
            <w:tcW w:type="dxa" w:w="2775"/>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1,00</w:t>
            </w:r>
          </w:p>
        </w:tc>
        <w:tc>
          <w:tcPr>
            <w:tcW w:type="dxa" w:w="2962"/>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0,50</w:t>
            </w:r>
          </w:p>
        </w:tc>
      </w:tr>
      <w:tr>
        <w:trPr>
          <w:trHeight w:hRule="atLeast" w:val="20"/>
        </w:trPr>
        <w:tc>
          <w:tcPr>
            <w:tcW w:type="dxa" w:w="2022"/>
            <w:tcBorders>
              <w:top w:color="000001" w:space="0" w:sz="4" w:val="single"/>
              <w:left w:color="000001" w:space="0" w:sz="8" w:val="single"/>
              <w:bottom w:color="000001" w:space="0" w:sz="4" w:val="single"/>
              <w:right w:color="000001" w:space="0" w:sz="4" w:val="single"/>
            </w:tcBorders>
            <w:shd w:fill="auto" w:val="clear"/>
            <w:tcMar>
              <w:left w:type="dxa" w:w="45"/>
            </w:tcMar>
            <w:vAlign w:val="center"/>
          </w:tcPr>
          <w:p>
            <w:pPr>
              <w:pStyle w:val="NoSpacing"/>
              <w:widowControl w:val="false"/>
              <w:jc w:val="center"/>
              <w:rPr/>
            </w:pPr>
            <w:r>
              <w:rPr>
                <w:rFonts w:ascii="TiMES NEW ROMAN" w:hAnsi="TiMES NEW ROMAN"/>
                <w:sz w:val="22"/>
                <w:szCs w:val="22"/>
              </w:rPr>
              <w:t>03</w:t>
            </w:r>
          </w:p>
        </w:tc>
        <w:tc>
          <w:tcPr>
            <w:tcW w:type="dxa" w:w="2153"/>
            <w:tcBorders>
              <w:top w:color="000001" w:space="0" w:sz="4" w:val="single"/>
              <w:left w:color="000001" w:space="0" w:sz="4" w:val="single"/>
              <w:bottom w:color="000001" w:space="0" w:sz="4" w:val="single"/>
              <w:right w:color="000001" w:space="0" w:sz="4" w:val="single"/>
            </w:tcBorders>
            <w:shd w:fill="auto" w:val="clear"/>
            <w:vAlign w:val="center"/>
          </w:tcPr>
          <w:p>
            <w:pPr>
              <w:pStyle w:val="NoSpacing"/>
              <w:widowControl w:val="false"/>
              <w:jc w:val="center"/>
              <w:rPr/>
            </w:pPr>
            <w:r>
              <w:rPr>
                <w:rFonts w:ascii="TiMES NEW ROMAN" w:hAnsi="TiMES NEW ROMAN"/>
                <w:sz w:val="22"/>
                <w:szCs w:val="22"/>
              </w:rPr>
              <w:t>Risco</w:t>
            </w:r>
          </w:p>
        </w:tc>
        <w:tc>
          <w:tcPr>
            <w:tcW w:type="dxa" w:w="2775"/>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0,95</w:t>
            </w:r>
          </w:p>
        </w:tc>
        <w:tc>
          <w:tcPr>
            <w:tcW w:type="dxa" w:w="2962"/>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0,80</w:t>
            </w:r>
          </w:p>
        </w:tc>
      </w:tr>
      <w:tr>
        <w:trPr>
          <w:trHeight w:hRule="atLeast" w:val="20"/>
        </w:trPr>
        <w:tc>
          <w:tcPr>
            <w:tcW w:type="dxa" w:w="2022"/>
            <w:tcBorders>
              <w:top w:color="000001" w:space="0" w:sz="4" w:val="single"/>
              <w:left w:color="000001" w:space="0" w:sz="8" w:val="single"/>
              <w:bottom w:color="000001" w:space="0" w:sz="4" w:val="single"/>
              <w:right w:color="000001" w:space="0" w:sz="4" w:val="single"/>
            </w:tcBorders>
            <w:shd w:fill="auto" w:val="clear"/>
            <w:tcMar>
              <w:left w:type="dxa" w:w="45"/>
            </w:tcMar>
            <w:vAlign w:val="center"/>
          </w:tcPr>
          <w:p>
            <w:pPr>
              <w:pStyle w:val="NoSpacing"/>
              <w:widowControl w:val="false"/>
              <w:jc w:val="center"/>
              <w:rPr/>
            </w:pPr>
            <w:r>
              <w:rPr>
                <w:rFonts w:ascii="TiMES NEW ROMAN" w:hAnsi="TiMES NEW ROMAN"/>
                <w:sz w:val="22"/>
                <w:szCs w:val="22"/>
              </w:rPr>
              <w:t>04</w:t>
            </w:r>
          </w:p>
        </w:tc>
        <w:tc>
          <w:tcPr>
            <w:tcW w:type="dxa" w:w="2153"/>
            <w:tcBorders>
              <w:top w:color="000001" w:space="0" w:sz="4" w:val="single"/>
              <w:left w:color="000001" w:space="0" w:sz="4" w:val="single"/>
              <w:bottom w:color="000001" w:space="0" w:sz="4" w:val="single"/>
              <w:right w:color="000001" w:space="0" w:sz="4" w:val="single"/>
            </w:tcBorders>
            <w:shd w:fill="auto" w:val="clear"/>
            <w:vAlign w:val="center"/>
          </w:tcPr>
          <w:p>
            <w:pPr>
              <w:pStyle w:val="NoSpacing"/>
              <w:widowControl w:val="false"/>
              <w:jc w:val="center"/>
              <w:rPr/>
            </w:pPr>
            <w:r>
              <w:rPr>
                <w:rFonts w:ascii="TiMES NEW ROMAN" w:hAnsi="TiMES NEW ROMAN"/>
                <w:sz w:val="22"/>
                <w:szCs w:val="22"/>
              </w:rPr>
              <w:t>Despesas Financeiras</w:t>
            </w:r>
          </w:p>
        </w:tc>
        <w:tc>
          <w:tcPr>
            <w:tcW w:type="dxa" w:w="2775"/>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1,20</w:t>
            </w:r>
          </w:p>
        </w:tc>
        <w:tc>
          <w:tcPr>
            <w:tcW w:type="dxa" w:w="2962"/>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0,85</w:t>
            </w:r>
          </w:p>
        </w:tc>
      </w:tr>
      <w:tr>
        <w:trPr>
          <w:trHeight w:hRule="atLeast" w:val="20"/>
        </w:trPr>
        <w:tc>
          <w:tcPr>
            <w:tcW w:type="dxa" w:w="2022"/>
            <w:tcBorders>
              <w:top w:color="000001" w:space="0" w:sz="4" w:val="single"/>
              <w:left w:color="000001" w:space="0" w:sz="8" w:val="single"/>
              <w:bottom w:color="000001" w:space="0" w:sz="4" w:val="single"/>
              <w:right w:color="000001" w:space="0" w:sz="4" w:val="single"/>
            </w:tcBorders>
            <w:shd w:fill="auto" w:val="clear"/>
            <w:tcMar>
              <w:left w:type="dxa" w:w="45"/>
            </w:tcMar>
            <w:vAlign w:val="center"/>
          </w:tcPr>
          <w:p>
            <w:pPr>
              <w:pStyle w:val="NoSpacing"/>
              <w:widowControl w:val="false"/>
              <w:jc w:val="center"/>
              <w:rPr/>
            </w:pPr>
            <w:r>
              <w:rPr>
                <w:rFonts w:ascii="TiMES NEW ROMAN" w:hAnsi="TiMES NEW ROMAN"/>
                <w:sz w:val="22"/>
                <w:szCs w:val="22"/>
              </w:rPr>
              <w:t>05</w:t>
            </w:r>
          </w:p>
        </w:tc>
        <w:tc>
          <w:tcPr>
            <w:tcW w:type="dxa" w:w="2153"/>
            <w:tcBorders>
              <w:top w:color="000001" w:space="0" w:sz="4" w:val="single"/>
              <w:left w:color="000001" w:space="0" w:sz="4" w:val="single"/>
              <w:bottom w:color="000001" w:space="0" w:sz="4" w:val="single"/>
              <w:right w:color="000001" w:space="0" w:sz="4" w:val="single"/>
            </w:tcBorders>
            <w:shd w:fill="auto" w:val="clear"/>
            <w:vAlign w:val="center"/>
          </w:tcPr>
          <w:p>
            <w:pPr>
              <w:pStyle w:val="NoSpacing"/>
              <w:widowControl w:val="false"/>
              <w:jc w:val="center"/>
              <w:rPr/>
            </w:pPr>
            <w:r>
              <w:rPr>
                <w:rFonts w:ascii="TiMES NEW ROMAN" w:hAnsi="TiMES NEW ROMAN"/>
                <w:sz w:val="22"/>
                <w:szCs w:val="22"/>
              </w:rPr>
              <w:t>Lucro</w:t>
            </w:r>
          </w:p>
        </w:tc>
        <w:tc>
          <w:tcPr>
            <w:tcW w:type="dxa" w:w="2775"/>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6,00</w:t>
            </w:r>
          </w:p>
        </w:tc>
        <w:tc>
          <w:tcPr>
            <w:tcW w:type="dxa" w:w="2962"/>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4,00</w:t>
            </w:r>
          </w:p>
        </w:tc>
      </w:tr>
      <w:tr>
        <w:trPr>
          <w:trHeight w:hRule="atLeast" w:val="20"/>
        </w:trPr>
        <w:tc>
          <w:tcPr>
            <w:tcW w:type="dxa" w:w="2022"/>
            <w:tcBorders>
              <w:top w:color="000001" w:space="0" w:sz="4" w:val="single"/>
              <w:left w:color="000001" w:space="0" w:sz="8" w:val="single"/>
              <w:bottom w:color="000001" w:space="0" w:sz="4" w:val="single"/>
              <w:right w:color="000001" w:space="0" w:sz="4" w:val="single"/>
            </w:tcBorders>
            <w:shd w:fill="auto" w:val="clear"/>
            <w:tcMar>
              <w:left w:type="dxa" w:w="45"/>
            </w:tcMar>
            <w:vAlign w:val="center"/>
          </w:tcPr>
          <w:p>
            <w:pPr>
              <w:pStyle w:val="NoSpacing"/>
              <w:widowControl w:val="false"/>
              <w:jc w:val="center"/>
              <w:rPr/>
            </w:pPr>
            <w:r>
              <w:rPr>
                <w:rFonts w:ascii="TiMES NEW ROMAN" w:hAnsi="TiMES NEW ROMAN"/>
                <w:sz w:val="22"/>
                <w:szCs w:val="22"/>
              </w:rPr>
              <w:t>06</w:t>
            </w:r>
          </w:p>
        </w:tc>
        <w:tc>
          <w:tcPr>
            <w:tcW w:type="dxa" w:w="2153"/>
            <w:tcBorders>
              <w:top w:color="000001" w:space="0" w:sz="4" w:val="single"/>
              <w:left w:color="000001" w:space="0" w:sz="4" w:val="single"/>
              <w:bottom w:color="000001" w:space="0" w:sz="4" w:val="single"/>
              <w:right w:color="000001" w:space="0" w:sz="4" w:val="single"/>
            </w:tcBorders>
            <w:shd w:fill="auto" w:val="clear"/>
            <w:vAlign w:val="center"/>
          </w:tcPr>
          <w:p>
            <w:pPr>
              <w:pStyle w:val="NoSpacing"/>
              <w:widowControl w:val="false"/>
              <w:jc w:val="center"/>
              <w:rPr/>
            </w:pPr>
            <w:r>
              <w:rPr>
                <w:rFonts w:ascii="TiMES NEW ROMAN" w:hAnsi="TiMES NEW ROMAN"/>
                <w:sz w:val="22"/>
                <w:szCs w:val="22"/>
              </w:rPr>
              <w:t>COFINS (3,00%)</w:t>
            </w:r>
          </w:p>
        </w:tc>
        <w:tc>
          <w:tcPr>
            <w:tcW w:type="dxa" w:w="2775"/>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3,00</w:t>
            </w:r>
          </w:p>
        </w:tc>
        <w:tc>
          <w:tcPr>
            <w:tcW w:type="dxa" w:w="2962"/>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3,00</w:t>
            </w:r>
          </w:p>
        </w:tc>
      </w:tr>
      <w:tr>
        <w:trPr>
          <w:trHeight w:hRule="atLeast" w:val="20"/>
        </w:trPr>
        <w:tc>
          <w:tcPr>
            <w:tcW w:type="dxa" w:w="2022"/>
            <w:tcBorders>
              <w:top w:color="000001" w:space="0" w:sz="4" w:val="single"/>
              <w:left w:color="000001" w:space="0" w:sz="8" w:val="single"/>
              <w:bottom w:color="000001" w:space="0" w:sz="4" w:val="single"/>
              <w:right w:color="000001" w:space="0" w:sz="4" w:val="single"/>
            </w:tcBorders>
            <w:shd w:fill="auto" w:val="clear"/>
            <w:tcMar>
              <w:left w:type="dxa" w:w="45"/>
            </w:tcMar>
            <w:vAlign w:val="center"/>
          </w:tcPr>
          <w:p>
            <w:pPr>
              <w:pStyle w:val="NoSpacing"/>
              <w:widowControl w:val="false"/>
              <w:jc w:val="center"/>
              <w:rPr/>
            </w:pPr>
            <w:r>
              <w:rPr>
                <w:rFonts w:ascii="TiMES NEW ROMAN" w:hAnsi="TiMES NEW ROMAN"/>
                <w:sz w:val="22"/>
                <w:szCs w:val="22"/>
              </w:rPr>
              <w:t>07</w:t>
            </w:r>
          </w:p>
        </w:tc>
        <w:tc>
          <w:tcPr>
            <w:tcW w:type="dxa" w:w="2153"/>
            <w:tcBorders>
              <w:top w:color="000001" w:space="0" w:sz="4" w:val="single"/>
              <w:left w:color="000001" w:space="0" w:sz="4" w:val="single"/>
              <w:bottom w:color="000001" w:space="0" w:sz="4" w:val="single"/>
              <w:right w:color="000001" w:space="0" w:sz="4" w:val="single"/>
            </w:tcBorders>
            <w:shd w:fill="auto" w:val="clear"/>
            <w:vAlign w:val="center"/>
          </w:tcPr>
          <w:p>
            <w:pPr>
              <w:pStyle w:val="NoSpacing"/>
              <w:widowControl w:val="false"/>
              <w:jc w:val="center"/>
              <w:rPr/>
            </w:pPr>
            <w:r>
              <w:rPr>
                <w:rFonts w:ascii="TiMES NEW ROMAN" w:hAnsi="TiMES NEW ROMAN"/>
                <w:sz w:val="22"/>
                <w:szCs w:val="22"/>
              </w:rPr>
              <w:t>PIS (0,65%)</w:t>
            </w:r>
          </w:p>
        </w:tc>
        <w:tc>
          <w:tcPr>
            <w:tcW w:type="dxa" w:w="2775"/>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0,65</w:t>
            </w:r>
          </w:p>
        </w:tc>
        <w:tc>
          <w:tcPr>
            <w:tcW w:type="dxa" w:w="2962"/>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0,65</w:t>
            </w:r>
          </w:p>
        </w:tc>
      </w:tr>
      <w:tr>
        <w:trPr>
          <w:trHeight w:hRule="atLeast" w:val="20"/>
        </w:trPr>
        <w:tc>
          <w:tcPr>
            <w:tcW w:type="dxa" w:w="2022"/>
            <w:tcBorders>
              <w:top w:color="000001" w:space="0" w:sz="4" w:val="single"/>
              <w:left w:color="000001" w:space="0" w:sz="8" w:val="single"/>
              <w:bottom w:color="000001" w:space="0" w:sz="4" w:val="single"/>
              <w:right w:color="000001" w:space="0" w:sz="4" w:val="single"/>
            </w:tcBorders>
            <w:shd w:fill="auto" w:val="clear"/>
            <w:tcMar>
              <w:left w:type="dxa" w:w="45"/>
            </w:tcMar>
            <w:vAlign w:val="center"/>
          </w:tcPr>
          <w:p>
            <w:pPr>
              <w:pStyle w:val="NoSpacing"/>
              <w:widowControl w:val="false"/>
              <w:jc w:val="center"/>
              <w:rPr/>
            </w:pPr>
            <w:r>
              <w:rPr>
                <w:rFonts w:ascii="TiMES NEW ROMAN" w:hAnsi="TiMES NEW ROMAN"/>
                <w:sz w:val="22"/>
                <w:szCs w:val="22"/>
              </w:rPr>
              <w:t>08</w:t>
            </w:r>
          </w:p>
        </w:tc>
        <w:tc>
          <w:tcPr>
            <w:tcW w:type="dxa" w:w="2153"/>
            <w:tcBorders>
              <w:top w:color="000001" w:space="0" w:sz="4" w:val="single"/>
              <w:left w:color="000001" w:space="0" w:sz="4" w:val="single"/>
              <w:bottom w:color="000001" w:space="0" w:sz="4" w:val="single"/>
              <w:right w:color="000001" w:space="0" w:sz="4" w:val="single"/>
            </w:tcBorders>
            <w:shd w:fill="auto" w:val="clear"/>
            <w:vAlign w:val="center"/>
          </w:tcPr>
          <w:p>
            <w:pPr>
              <w:pStyle w:val="NoSpacing"/>
              <w:widowControl w:val="false"/>
              <w:jc w:val="center"/>
              <w:rPr/>
            </w:pPr>
            <w:r>
              <w:rPr>
                <w:rFonts w:ascii="TiMES NEW ROMAN" w:hAnsi="TiMES NEW ROMAN"/>
                <w:sz w:val="22"/>
                <w:szCs w:val="22"/>
              </w:rPr>
              <w:t xml:space="preserve"> </w:t>
            </w:r>
            <w:r>
              <w:rPr>
                <w:rFonts w:ascii="TiMES NEW ROMAN" w:hAnsi="TiMES NEW ROMAN"/>
                <w:sz w:val="22"/>
                <w:szCs w:val="22"/>
              </w:rPr>
              <w:t>ISS</w:t>
            </w:r>
          </w:p>
        </w:tc>
        <w:tc>
          <w:tcPr>
            <w:tcW w:type="dxa" w:w="2775"/>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3,00</w:t>
            </w:r>
          </w:p>
        </w:tc>
        <w:tc>
          <w:tcPr>
            <w:tcW w:type="dxa" w:w="2962"/>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w:t>
            </w:r>
          </w:p>
        </w:tc>
      </w:tr>
      <w:tr>
        <w:trPr>
          <w:trHeight w:hRule="atLeast" w:val="20"/>
        </w:trPr>
        <w:tc>
          <w:tcPr>
            <w:tcW w:type="dxa" w:w="2022"/>
            <w:tcBorders>
              <w:top w:color="000001" w:space="0" w:sz="4" w:val="single"/>
              <w:left w:color="000001" w:space="0" w:sz="8" w:val="single"/>
              <w:bottom w:color="000001" w:space="0" w:sz="4" w:val="single"/>
              <w:right w:color="000001" w:space="0" w:sz="4" w:val="single"/>
            </w:tcBorders>
            <w:shd w:fill="auto" w:val="clear"/>
            <w:tcMar>
              <w:left w:type="dxa" w:w="45"/>
            </w:tcMar>
            <w:vAlign w:val="center"/>
          </w:tcPr>
          <w:p>
            <w:pPr>
              <w:pStyle w:val="NoSpacing"/>
              <w:widowControl w:val="false"/>
              <w:jc w:val="center"/>
              <w:rPr/>
            </w:pPr>
            <w:r>
              <w:rPr>
                <w:rFonts w:ascii="TiMES NEW ROMAN" w:hAnsi="TiMES NEW ROMAN"/>
                <w:sz w:val="22"/>
                <w:szCs w:val="22"/>
              </w:rPr>
              <w:t>09</w:t>
            </w:r>
          </w:p>
        </w:tc>
        <w:tc>
          <w:tcPr>
            <w:tcW w:type="dxa" w:w="2153"/>
            <w:tcBorders>
              <w:top w:color="000001" w:space="0" w:sz="4" w:val="single"/>
              <w:left w:color="000001" w:space="0" w:sz="4" w:val="single"/>
              <w:bottom w:color="000001" w:space="0" w:sz="4" w:val="single"/>
              <w:right w:color="000001" w:space="0" w:sz="4" w:val="single"/>
            </w:tcBorders>
            <w:shd w:fill="auto" w:val="clear"/>
            <w:vAlign w:val="center"/>
          </w:tcPr>
          <w:p>
            <w:pPr>
              <w:pStyle w:val="NoSpacing"/>
              <w:widowControl w:val="false"/>
              <w:jc w:val="center"/>
              <w:rPr/>
            </w:pPr>
            <w:r>
              <w:rPr>
                <w:rFonts w:ascii="TiMES NEW ROMAN" w:hAnsi="TiMES NEW ROMAN"/>
                <w:sz w:val="22"/>
                <w:szCs w:val="22"/>
              </w:rPr>
              <w:t>CPRB</w:t>
            </w:r>
          </w:p>
        </w:tc>
        <w:tc>
          <w:tcPr>
            <w:tcW w:type="dxa" w:w="2775"/>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4,50</w:t>
            </w:r>
          </w:p>
        </w:tc>
        <w:tc>
          <w:tcPr>
            <w:tcW w:type="dxa" w:w="2962"/>
            <w:tcBorders>
              <w:top w:color="000001" w:space="0" w:sz="4" w:val="single"/>
              <w:left w:color="000001" w:space="0" w:sz="8" w:val="single"/>
              <w:bottom w:color="000001" w:space="0" w:sz="4" w:val="single"/>
              <w:right w:color="000001" w:space="0" w:sz="8" w:val="single"/>
            </w:tcBorders>
            <w:shd w:fill="auto" w:val="clear"/>
            <w:tcMar>
              <w:left w:type="dxa" w:w="45"/>
            </w:tcMar>
            <w:vAlign w:val="center"/>
          </w:tcPr>
          <w:p>
            <w:pPr>
              <w:pStyle w:val="NoSpacing"/>
              <w:widowControl w:val="false"/>
              <w:jc w:val="center"/>
              <w:rPr>
                <w:rFonts w:ascii="TiMES NEW ROMAN" w:hAnsi="TiMES NEW ROMAN"/>
                <w:sz w:val="22"/>
                <w:szCs w:val="22"/>
              </w:rPr>
            </w:pPr>
            <w:r>
              <w:rPr>
                <w:rFonts w:ascii="TiMES NEW ROMAN" w:hAnsi="TiMES NEW ROMAN"/>
                <w:sz w:val="22"/>
                <w:szCs w:val="22"/>
              </w:rPr>
              <w:t>4,50</w:t>
            </w:r>
          </w:p>
        </w:tc>
      </w:tr>
      <w:tr>
        <w:trPr>
          <w:trHeight w:hRule="atLeast" w:val="20"/>
        </w:trPr>
        <w:tc>
          <w:tcPr>
            <w:tcW w:type="dxa" w:w="2022"/>
            <w:tcBorders>
              <w:top w:color="000001" w:space="0" w:sz="8" w:val="single"/>
              <w:left w:color="000001" w:space="0" w:sz="8" w:val="single"/>
              <w:bottom w:color="000001" w:space="0" w:sz="8" w:val="single"/>
              <w:right w:color="000001" w:space="0" w:sz="4" w:val="single"/>
            </w:tcBorders>
            <w:shd w:fill="99CCFF" w:val="clear"/>
            <w:tcMar>
              <w:left w:type="dxa" w:w="45"/>
            </w:tcMar>
            <w:vAlign w:val="center"/>
          </w:tcPr>
          <w:p>
            <w:pPr>
              <w:pStyle w:val="NoSpacing"/>
              <w:widowControl w:val="false"/>
              <w:jc w:val="center"/>
              <w:rPr>
                <w:rFonts w:ascii="TiMES NEW ROMAN" w:cs="DejaVu Sans" w:eastAsia="Calibri" w:hAnsi="TiMES NEW ROMAN"/>
                <w:b/>
                <w:b/>
                <w:color w:val="00000A"/>
                <w:sz w:val="22"/>
                <w:szCs w:val="22"/>
                <w:lang w:bidi="ar-SA" w:eastAsia="en-US" w:val="pt-BR"/>
              </w:rPr>
            </w:pPr>
            <w:r>
              <w:rPr>
                <w:rFonts w:ascii="TiMES NEW ROMAN" w:cs="DejaVu Sans" w:eastAsia="Calibri" w:hAnsi="TiMES NEW ROMAN"/>
                <w:b/>
                <w:color w:val="00000A"/>
                <w:sz w:val="22"/>
                <w:szCs w:val="22"/>
                <w:lang w:bidi="ar-SA" w:eastAsia="en-US" w:val="pt-BR"/>
              </w:rPr>
            </w:r>
          </w:p>
        </w:tc>
        <w:tc>
          <w:tcPr>
            <w:tcW w:type="dxa" w:w="2153"/>
            <w:tcBorders>
              <w:top w:color="000001" w:space="0" w:sz="8" w:val="single"/>
              <w:left w:color="000001" w:space="0" w:sz="4" w:val="single"/>
              <w:bottom w:color="000001" w:space="0" w:sz="8" w:val="single"/>
              <w:right w:color="000001" w:space="0" w:sz="4" w:val="single"/>
            </w:tcBorders>
            <w:shd w:fill="C0C0C0" w:val="clear"/>
            <w:vAlign w:val="center"/>
          </w:tcPr>
          <w:p>
            <w:pPr>
              <w:pStyle w:val="NoSpacing"/>
              <w:widowControl w:val="false"/>
              <w:jc w:val="center"/>
              <w:rPr/>
            </w:pPr>
            <w:r>
              <w:rPr>
                <w:rFonts w:ascii="TiMES NEW ROMAN" w:hAnsi="TiMES NEW ROMAN"/>
                <w:b/>
                <w:sz w:val="22"/>
                <w:szCs w:val="22"/>
              </w:rPr>
              <w:t>BDI (%):</w:t>
            </w:r>
          </w:p>
        </w:tc>
        <w:tc>
          <w:tcPr>
            <w:tcW w:type="dxa" w:w="2775"/>
            <w:tcBorders>
              <w:top w:color="000001" w:space="0" w:sz="8" w:val="single"/>
              <w:left w:color="000001" w:space="0" w:sz="4" w:val="single"/>
              <w:bottom w:color="000001" w:space="0" w:sz="8" w:val="single"/>
              <w:right w:color="000001" w:space="0" w:sz="8" w:val="single"/>
            </w:tcBorders>
            <w:shd w:fill="C0C0C0" w:val="clear"/>
            <w:vAlign w:val="center"/>
          </w:tcPr>
          <w:p>
            <w:pPr>
              <w:pStyle w:val="NoSpacing"/>
              <w:widowControl w:val="false"/>
              <w:jc w:val="center"/>
              <w:rPr>
                <w:rFonts w:ascii="TiMES NEW ROMAN" w:hAnsi="TiMES NEW ROMAN"/>
                <w:b/>
                <w:b/>
                <w:sz w:val="22"/>
                <w:szCs w:val="22"/>
              </w:rPr>
            </w:pPr>
            <w:r>
              <w:rPr>
                <w:rFonts w:ascii="TiMES NEW ROMAN" w:hAnsi="TiMES NEW ROMAN"/>
                <w:b/>
                <w:sz w:val="22"/>
                <w:szCs w:val="22"/>
              </w:rPr>
              <w:t>29,00</w:t>
            </w:r>
          </w:p>
        </w:tc>
        <w:tc>
          <w:tcPr>
            <w:tcW w:type="dxa" w:w="2962"/>
            <w:tcBorders>
              <w:top w:color="000001" w:space="0" w:sz="8" w:val="single"/>
              <w:left w:color="000001" w:space="0" w:sz="8" w:val="single"/>
              <w:bottom w:color="000001" w:space="0" w:sz="8" w:val="single"/>
              <w:right w:color="000001" w:space="0" w:sz="8" w:val="single"/>
            </w:tcBorders>
            <w:shd w:fill="C0C0C0" w:val="clear"/>
            <w:tcMar>
              <w:left w:type="dxa" w:w="45"/>
            </w:tcMar>
            <w:vAlign w:val="center"/>
          </w:tcPr>
          <w:p>
            <w:pPr>
              <w:pStyle w:val="NoSpacing"/>
              <w:widowControl w:val="false"/>
              <w:jc w:val="center"/>
              <w:rPr>
                <w:rFonts w:ascii="TiMES NEW ROMAN" w:hAnsi="TiMES NEW ROMAN"/>
                <w:b/>
                <w:b/>
                <w:sz w:val="22"/>
                <w:szCs w:val="22"/>
              </w:rPr>
            </w:pPr>
            <w:r>
              <w:rPr>
                <w:rFonts w:ascii="TiMES NEW ROMAN" w:hAnsi="TiMES NEW ROMAN"/>
                <w:b/>
                <w:sz w:val="22"/>
                <w:szCs w:val="22"/>
              </w:rPr>
              <w:t>19,00</w:t>
            </w:r>
          </w:p>
        </w:tc>
      </w:tr>
    </w:tbl>
    <w:p>
      <w:pPr>
        <w:pStyle w:val="Contedodatabela"/>
        <w:ind w:hanging="0" w:left="0" w:right="-15"/>
        <w:jc w:val="both"/>
        <w:rPr/>
      </w:pPr>
      <w:r>
        <w:rPr>
          <w:rFonts w:ascii="TiMES NEW ROMAN" w:cs="Times New Roman" w:hAnsi="TiMES NEW ROMAN"/>
          <w:sz w:val="20"/>
          <w:szCs w:val="20"/>
        </w:rPr>
        <w:t>FÓRMULAS ADOTADAS:</w:t>
      </w:r>
    </w:p>
    <w:p>
      <w:pPr>
        <w:pStyle w:val="Contedodatabela"/>
        <w:ind w:hanging="0" w:left="0" w:right="-15"/>
        <w:jc w:val="both"/>
        <w:rPr>
          <w:rFonts w:ascii="TiMES NEW ROMAN" w:cs="Times New Roman" w:eastAsia="Arial" w:hAnsi="TiMES NEW ROMAN"/>
          <w:color w:val="00000A"/>
          <w:sz w:val="20"/>
          <w:szCs w:val="20"/>
          <w:lang w:bidi="hi-IN" w:eastAsia="zh-CN" w:val="pt-BR"/>
        </w:rPr>
      </w:pPr>
      <w:r>
        <w:rPr>
          <w:rFonts w:ascii="TiMES NEW ROMAN" w:cs="Times New Roman" w:eastAsia="Arial" w:hAnsi="TiMES NEW ROMAN"/>
          <w:color w:val="00000A"/>
          <w:sz w:val="20"/>
          <w:szCs w:val="20"/>
          <w:lang w:bidi="hi-IN" w:eastAsia="zh-CN" w:val="pt-BR"/>
        </w:rPr>
        <w:drawing>
          <wp:anchor allowOverlap="1" behindDoc="0" distB="0" distL="0" distR="0" distT="0" layoutInCell="1" locked="0" relativeHeight="3" simplePos="0">
            <wp:simplePos x="0" y="0"/>
            <wp:positionH relativeFrom="column">
              <wp:posOffset>795020</wp:posOffset>
            </wp:positionH>
            <wp:positionV relativeFrom="paragraph">
              <wp:posOffset>46355</wp:posOffset>
            </wp:positionV>
            <wp:extent cx="4343400" cy="351790"/>
            <wp:effectExtent b="0" l="0" r="0" t="0"/>
            <wp:wrapSquare wrapText="bothSides"/>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3"/>
                    <a:stretch>
                      <a:fillRect/>
                    </a:stretch>
                  </pic:blipFill>
                  <pic:spPr bwMode="auto">
                    <a:xfrm>
                      <a:off x="0" y="0"/>
                      <a:ext cx="4343400" cy="351790"/>
                    </a:xfrm>
                    <a:prstGeom prst="rect">
                      <a:avLst/>
                    </a:prstGeom>
                  </pic:spPr>
                </pic:pic>
              </a:graphicData>
            </a:graphic>
          </wp:anchor>
        </w:drawing>
      </w:r>
    </w:p>
    <w:p>
      <w:pPr>
        <w:pStyle w:val="Contedodatabela"/>
        <w:ind w:hanging="0" w:left="0" w:right="-15"/>
        <w:jc w:val="both"/>
        <w:rPr>
          <w:rFonts w:ascii="TiMES NEW ROMAN" w:cs="Times New Roman" w:eastAsia="Arial" w:hAnsi="TiMES NEW ROMAN"/>
          <w:color w:val="00000A"/>
          <w:sz w:val="20"/>
          <w:szCs w:val="20"/>
          <w:lang w:bidi="hi-IN" w:eastAsia="zh-CN" w:val="pt-BR"/>
        </w:rPr>
      </w:pPr>
      <w:r>
        <w:rPr>
          <w:rFonts w:ascii="TiMES NEW ROMAN" w:cs="Times New Roman" w:eastAsia="Arial" w:hAnsi="TiMES NEW ROMAN"/>
          <w:color w:val="00000A"/>
          <w:sz w:val="20"/>
          <w:szCs w:val="20"/>
          <w:lang w:bidi="hi-IN" w:eastAsia="zh-CN" w:val="pt-BR"/>
        </w:rPr>
      </w:r>
    </w:p>
    <w:p>
      <w:pPr>
        <w:pStyle w:val="Contedodatabela"/>
        <w:spacing w:after="0" w:before="0"/>
        <w:ind w:hanging="0" w:left="0" w:right="0"/>
        <w:jc w:val="left"/>
        <w:rPr>
          <w:sz w:val="18"/>
          <w:szCs w:val="18"/>
        </w:rPr>
      </w:pPr>
      <w:r>
        <w:rPr>
          <w:rFonts w:ascii="TiMES NEW ROMAN" w:cs="Times New Roman" w:hAnsi="TiMES NEW ROMAN"/>
          <w:sz w:val="18"/>
          <w:szCs w:val="18"/>
        </w:rPr>
        <w:t>AC =  Administração Central/100</w:t>
      </w:r>
    </w:p>
    <w:p>
      <w:pPr>
        <w:pStyle w:val="Contedodatabela"/>
        <w:spacing w:after="0" w:before="0"/>
        <w:ind w:hanging="0" w:left="0" w:right="0"/>
        <w:jc w:val="both"/>
        <w:rPr>
          <w:sz w:val="18"/>
          <w:szCs w:val="18"/>
        </w:rPr>
      </w:pPr>
      <w:r>
        <w:rPr>
          <w:rFonts w:ascii="TiMES NEW ROMAN" w:cs="Times New Roman" w:hAnsi="TiMES NEW ROMAN"/>
          <w:sz w:val="18"/>
          <w:szCs w:val="18"/>
        </w:rPr>
        <w:t>RI = Risco/100</w:t>
      </w:r>
    </w:p>
    <w:p>
      <w:pPr>
        <w:pStyle w:val="Contedodatabela"/>
        <w:spacing w:after="0" w:before="0"/>
        <w:ind w:hanging="0" w:left="0" w:right="0"/>
        <w:jc w:val="both"/>
        <w:rPr>
          <w:sz w:val="18"/>
          <w:szCs w:val="18"/>
        </w:rPr>
      </w:pPr>
      <w:r>
        <w:rPr>
          <w:rFonts w:ascii="TiMES NEW ROMAN" w:cs="Times New Roman" w:hAnsi="TiMES NEW ROMAN"/>
          <w:sz w:val="18"/>
          <w:szCs w:val="18"/>
        </w:rPr>
        <w:t>GA = Garantia /100</w:t>
      </w:r>
    </w:p>
    <w:p>
      <w:pPr>
        <w:pStyle w:val="Contedodatabela"/>
        <w:spacing w:after="0" w:before="0"/>
        <w:ind w:hanging="0" w:left="0" w:right="0"/>
        <w:jc w:val="both"/>
        <w:rPr>
          <w:sz w:val="18"/>
          <w:szCs w:val="18"/>
        </w:rPr>
      </w:pPr>
      <w:r>
        <w:rPr>
          <w:rFonts w:ascii="TiMES NEW ROMAN" w:cs="Times New Roman" w:hAnsi="TiMES NEW ROMAN"/>
          <w:sz w:val="18"/>
          <w:szCs w:val="18"/>
        </w:rPr>
        <w:t>SE =  Seguros/100</w:t>
      </w:r>
    </w:p>
    <w:p>
      <w:pPr>
        <w:pStyle w:val="Contedodatabela"/>
        <w:spacing w:after="0" w:before="0"/>
        <w:ind w:hanging="0" w:left="0" w:right="0"/>
        <w:jc w:val="both"/>
        <w:rPr>
          <w:sz w:val="18"/>
          <w:szCs w:val="18"/>
        </w:rPr>
      </w:pPr>
      <w:r>
        <w:rPr>
          <w:rFonts w:ascii="TiMES NEW ROMAN" w:cs="Times New Roman" w:hAnsi="TiMES NEW ROMAN"/>
          <w:sz w:val="18"/>
          <w:szCs w:val="18"/>
        </w:rPr>
        <w:t>DF = Despesas Financeiras /100</w:t>
      </w:r>
    </w:p>
    <w:p>
      <w:pPr>
        <w:pStyle w:val="Contedodatabela"/>
        <w:spacing w:after="0" w:before="0"/>
        <w:ind w:hanging="0" w:left="0" w:right="0"/>
        <w:jc w:val="both"/>
        <w:rPr>
          <w:sz w:val="18"/>
          <w:szCs w:val="18"/>
        </w:rPr>
      </w:pPr>
      <w:r>
        <w:rPr>
          <w:rFonts w:ascii="TiMES NEW ROMAN" w:cs="Times New Roman" w:hAnsi="TiMES NEW ROMAN"/>
          <w:sz w:val="18"/>
          <w:szCs w:val="18"/>
        </w:rPr>
        <w:t>LC = Lucro/100</w:t>
      </w:r>
    </w:p>
    <w:p>
      <w:pPr>
        <w:pStyle w:val="Contedodatabela"/>
        <w:spacing w:after="0" w:before="0"/>
        <w:ind w:hanging="0" w:left="0" w:right="0"/>
        <w:jc w:val="both"/>
        <w:rPr>
          <w:sz w:val="18"/>
          <w:szCs w:val="18"/>
        </w:rPr>
      </w:pPr>
      <w:r>
        <w:rPr>
          <w:rFonts w:ascii="TiMES NEW ROMAN" w:cs="Times New Roman" w:hAnsi="TiMES NEW ROMAN"/>
          <w:sz w:val="18"/>
          <w:szCs w:val="18"/>
        </w:rPr>
        <w:t>CO = Cofins/100</w:t>
      </w:r>
    </w:p>
    <w:p>
      <w:pPr>
        <w:pStyle w:val="Contedodatabela"/>
        <w:spacing w:after="0" w:before="0"/>
        <w:ind w:hanging="0" w:left="0" w:right="0"/>
        <w:jc w:val="both"/>
        <w:rPr>
          <w:sz w:val="18"/>
          <w:szCs w:val="18"/>
        </w:rPr>
      </w:pPr>
      <w:r>
        <w:rPr>
          <w:rFonts w:ascii="TiMES NEW ROMAN" w:cs="Times New Roman" w:hAnsi="TiMES NEW ROMAN"/>
          <w:sz w:val="18"/>
          <w:szCs w:val="18"/>
        </w:rPr>
        <w:t>PI = Pis/100</w:t>
      </w:r>
    </w:p>
    <w:p>
      <w:pPr>
        <w:pStyle w:val="Contedodatabela"/>
        <w:spacing w:after="0" w:before="0"/>
        <w:ind w:hanging="0" w:left="0" w:right="0"/>
        <w:jc w:val="both"/>
        <w:rPr>
          <w:sz w:val="18"/>
          <w:szCs w:val="18"/>
        </w:rPr>
      </w:pPr>
      <w:r>
        <w:rPr>
          <w:rFonts w:ascii="TiMES NEW ROMAN" w:cs="Times New Roman" w:hAnsi="TiMES NEW ROMAN"/>
          <w:sz w:val="18"/>
          <w:szCs w:val="18"/>
        </w:rPr>
        <w:t>IS = ISS/100</w:t>
      </w:r>
    </w:p>
    <w:p>
      <w:pPr>
        <w:pStyle w:val="Contedodatabela"/>
        <w:spacing w:after="0" w:before="0" w:line="240" w:lineRule="auto"/>
        <w:ind w:hanging="0" w:left="0" w:right="0"/>
        <w:jc w:val="both"/>
        <w:rPr>
          <w:sz w:val="18"/>
          <w:szCs w:val="18"/>
        </w:rPr>
      </w:pPr>
      <w:r>
        <w:rPr>
          <w:rFonts w:ascii="TiMES NEW ROMAN" w:cs="Times New Roman" w:hAnsi="TiMES NEW ROMAN"/>
          <w:b w:val="false"/>
          <w:bCs w:val="false"/>
          <w:sz w:val="18"/>
          <w:szCs w:val="18"/>
        </w:rPr>
        <w:t>CPRB = Contribuição Previdenciária sobre Renda Bruta/100</w:t>
      </w:r>
    </w:p>
    <w:p>
      <w:pPr>
        <w:pStyle w:val="Normal"/>
        <w:spacing w:after="120" w:before="120"/>
        <w:ind w:hanging="0" w:left="0" w:right="-15"/>
        <w:jc w:val="right"/>
        <w:rPr/>
      </w:pPr>
      <w:r>
        <w:rPr/>
      </w:r>
    </w:p>
    <w:p>
      <w:pPr>
        <w:pStyle w:val="Normal"/>
        <w:spacing w:after="120" w:before="120"/>
        <w:ind w:hanging="0" w:left="0" w:right="-15"/>
        <w:jc w:val="right"/>
        <w:rPr/>
      </w:pPr>
      <w:r>
        <w:rPr/>
      </w:r>
    </w:p>
    <w:p>
      <w:pPr>
        <w:pStyle w:val="Normal"/>
        <w:spacing w:after="120" w:before="120"/>
        <w:ind w:hanging="0" w:left="0" w:right="-15"/>
        <w:jc w:val="center"/>
        <w:rPr/>
      </w:pPr>
      <w:r>
        <w:rPr/>
        <w:t>_______________________________________________________________</w:t>
      </w:r>
    </w:p>
    <w:p>
      <w:pPr>
        <w:pStyle w:val="Normal"/>
        <w:spacing w:after="120" w:before="120"/>
        <w:ind w:hanging="0" w:left="0" w:right="-15"/>
        <w:jc w:val="center"/>
        <w:rPr/>
      </w:pPr>
      <w:r>
        <w:rPr/>
        <w:t>Maria do Socorro Magalhães de Brito</w:t>
      </w:r>
    </w:p>
    <w:p>
      <w:pPr>
        <w:pStyle w:val="Normal"/>
        <w:spacing w:after="120" w:before="120"/>
        <w:ind w:hanging="0" w:left="0" w:right="-15"/>
        <w:jc w:val="center"/>
        <w:rPr/>
      </w:pPr>
      <w:r>
        <w:rPr/>
        <w:t>Setor de Engenharia</w:t>
      </w:r>
    </w:p>
    <w:p>
      <w:pPr>
        <w:pStyle w:val="Normal"/>
        <w:spacing w:after="120" w:before="120"/>
        <w:ind w:hanging="0" w:left="0" w:right="-15"/>
        <w:jc w:val="center"/>
        <w:rPr/>
      </w:pPr>
      <w:r>
        <w:rPr/>
        <w:drawing>
          <wp:anchor allowOverlap="1" behindDoc="0" distB="0" distL="0" distR="0" distT="0" layoutInCell="1" locked="0" relativeHeight="10" simplePos="0">
            <wp:simplePos x="0" y="0"/>
            <wp:positionH relativeFrom="column">
              <wp:posOffset>1565275</wp:posOffset>
            </wp:positionH>
            <wp:positionV relativeFrom="paragraph">
              <wp:posOffset>22860</wp:posOffset>
            </wp:positionV>
            <wp:extent cx="3407410" cy="277495"/>
            <wp:effectExtent b="0" l="0" r="0" t="0"/>
            <wp:wrapNone/>
            <wp:docPr descr="" id="4"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Figura11"/>
                    <pic:cNvPicPr>
                      <a:picLocks noChangeArrowheads="1" noChangeAspect="1"/>
                    </pic:cNvPicPr>
                  </pic:nvPicPr>
                  <pic:blipFill>
                    <a:blip r:embed="rId4"/>
                    <a:stretch>
                      <a:fillRect/>
                    </a:stretch>
                  </pic:blipFill>
                  <pic:spPr bwMode="auto">
                    <a:xfrm>
                      <a:off x="0" y="0"/>
                      <a:ext cx="3407410" cy="277495"/>
                    </a:xfrm>
                    <a:prstGeom prst="rect">
                      <a:avLst/>
                    </a:prstGeom>
                  </pic:spPr>
                </pic:pic>
              </a:graphicData>
            </a:graphic>
          </wp:anchor>
        </w:drawing>
      </w:r>
    </w:p>
    <w:p>
      <w:pPr>
        <w:pStyle w:val="Normal"/>
        <w:spacing w:after="120" w:before="120"/>
        <w:ind w:hanging="0" w:left="0" w:right="-15"/>
        <w:jc w:val="center"/>
        <w:rPr/>
      </w:pPr>
      <w:r>
        <w:rPr/>
        <w:t>_______________________________________________________________</w:t>
      </w:r>
    </w:p>
    <w:p>
      <w:pPr>
        <w:pStyle w:val="Normal"/>
        <w:spacing w:after="120" w:before="120"/>
        <w:ind w:hanging="0" w:left="0" w:right="-15"/>
        <w:jc w:val="center"/>
        <w:rPr/>
      </w:pPr>
      <w:r>
        <w:rPr/>
        <w:t>Marcella de Souza Ferreira Thomé</w:t>
      </w:r>
    </w:p>
    <w:p>
      <w:pPr>
        <w:pStyle w:val="Normal"/>
        <w:spacing w:after="120" w:before="120"/>
        <w:ind w:hanging="0" w:left="0" w:right="-15"/>
        <w:jc w:val="center"/>
        <w:rPr/>
      </w:pPr>
      <w:r>
        <w:rPr/>
        <w:t>Setor de Engenharia</w:t>
      </w:r>
    </w:p>
    <w:p>
      <w:pPr>
        <w:pStyle w:val="Normal"/>
        <w:spacing w:after="120" w:before="120"/>
        <w:ind w:hanging="0" w:left="0" w:right="-15"/>
        <w:jc w:val="center"/>
        <w:rPr/>
      </w:pPr>
      <w:r>
        <w:rPr/>
      </w:r>
    </w:p>
    <w:p>
      <w:pPr>
        <w:pStyle w:val="Normal"/>
        <w:spacing w:after="120" w:before="120"/>
        <w:ind w:hanging="0" w:left="0" w:right="-15"/>
        <w:jc w:val="center"/>
        <w:rPr/>
      </w:pPr>
      <w:r>
        <w:rPr/>
      </w:r>
    </w:p>
    <w:p>
      <w:pPr>
        <w:pStyle w:val="Normal"/>
        <w:spacing w:after="120" w:before="120"/>
        <w:ind w:hanging="0" w:left="0" w:right="-15"/>
        <w:jc w:val="center"/>
        <w:rPr/>
      </w:pPr>
      <w:r>
        <w:rPr/>
      </w:r>
    </w:p>
    <w:p>
      <w:pPr>
        <w:pStyle w:val="Normal"/>
        <w:spacing w:line="240" w:lineRule="auto"/>
        <w:ind w:hanging="0" w:left="0" w:right="0"/>
        <w:jc w:val="center"/>
        <w:rPr/>
      </w:pPr>
      <w:r>
        <w:rPr>
          <w:rFonts w:ascii="Times New Roman" w:cs="Arial" w:hAnsi="Times New Roman"/>
          <w:sz w:val="20"/>
          <w:szCs w:val="20"/>
        </w:rPr>
        <w:t>Apêndice II- CÁLCULO DE COMPOSIÇÃO DO BDI</w:t>
      </w:r>
      <w:r>
        <w:rPr>
          <w:rFonts w:ascii="Times New Roman" w:hAnsi="Times New Roman"/>
          <w:sz w:val="20"/>
          <w:szCs w:val="20"/>
        </w:rPr>
        <w:t xml:space="preserve"> </w:t>
      </w:r>
    </w:p>
    <w:p>
      <w:pPr>
        <w:pStyle w:val="Normal"/>
        <w:spacing w:line="240" w:lineRule="auto"/>
        <w:ind w:hanging="0" w:left="0" w:right="0"/>
        <w:jc w:val="center"/>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center"/>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t>1. REFERÊNCIAS:</w:t>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284" w:right="0"/>
        <w:jc w:val="left"/>
        <w:rPr>
          <w:rFonts w:ascii="Times New Roman" w:cs="Arial" w:hAnsi="Times New Roman"/>
          <w:sz w:val="20"/>
          <w:szCs w:val="20"/>
        </w:rPr>
      </w:pPr>
      <w:r>
        <w:rPr>
          <w:rFonts w:ascii="Times New Roman" w:cs="Arial" w:hAnsi="Times New Roman"/>
          <w:sz w:val="20"/>
          <w:szCs w:val="20"/>
        </w:rPr>
        <w:t>a. Estudo sobre Taxas Referenciais de BDI de Obras Públicas e Equipamentos e de Equipamentos e Materiais Relevantes TCU, de maio /2013;</w:t>
      </w:r>
    </w:p>
    <w:p>
      <w:pPr>
        <w:pStyle w:val="Normal"/>
        <w:spacing w:line="240" w:lineRule="auto"/>
        <w:ind w:hanging="0" w:left="284" w:right="0"/>
        <w:jc w:val="left"/>
        <w:rPr>
          <w:rFonts w:ascii="Times New Roman" w:cs="Arial" w:hAnsi="Times New Roman"/>
          <w:sz w:val="20"/>
          <w:szCs w:val="20"/>
        </w:rPr>
      </w:pPr>
      <w:r>
        <w:rPr>
          <w:rFonts w:ascii="Times New Roman" w:cs="Arial" w:hAnsi="Times New Roman"/>
          <w:sz w:val="20"/>
          <w:szCs w:val="20"/>
        </w:rPr>
        <w:t xml:space="preserve">b. Acórdão 2622/2013 - TCU- Plenário; </w:t>
      </w:r>
    </w:p>
    <w:p>
      <w:pPr>
        <w:pStyle w:val="Normal"/>
        <w:spacing w:line="240" w:lineRule="auto"/>
        <w:ind w:hanging="0" w:left="284" w:right="0"/>
        <w:jc w:val="left"/>
        <w:rPr>
          <w:rFonts w:ascii="Times New Roman" w:cs="Arial" w:hAnsi="Times New Roman"/>
          <w:sz w:val="20"/>
          <w:szCs w:val="20"/>
        </w:rPr>
      </w:pPr>
      <w:r>
        <w:rPr>
          <w:rFonts w:ascii="Times New Roman" w:cs="Arial" w:hAnsi="Times New Roman"/>
          <w:sz w:val="20"/>
          <w:szCs w:val="20"/>
        </w:rPr>
        <w:t>c. Códigos e atividades econômicas na CNAE (Classificação Nacional de Atividades Econômicas) - sítio do Instituto Brasileiro de Geografia e Estatística (IBGE).</w:t>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t>2. INTRODUÇÃO:</w:t>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tab/>
        <w:t xml:space="preserve">Para planejamento da composição do BDI foram adotados os parâmetros e taxas preconizados no Acórdão 2622/20.13- TCU- Plenário. O referido Acórdão versa sobre as faixas dos itens componentes do cálculo do BDI, bem como os valores referenciais de BDI por faixa de valores de obras de edificações. </w:t>
      </w:r>
    </w:p>
    <w:p>
      <w:pPr>
        <w:pStyle w:val="Normal"/>
        <w:spacing w:line="240" w:lineRule="auto"/>
        <w:ind w:hanging="0" w:left="0" w:right="0"/>
        <w:jc w:val="center"/>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t>2.1. ENQUADRAMENTO DOS SERVIÇOS NO ACÓRDÃO 2.622/2013 – TCU:</w:t>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tab/>
        <w:t xml:space="preserve">O objetivo do presente processo licitatório é a eventual contratação de serviços comuns de engenharia, não continuado-a, com fins a atender as necessidades de manutenção e adequações em instalações elétricas de baixa tensão e em espaços físicos das seções subordinadas ao Comando da l' Região Militar dentro do Palácio Duque de Caxias, que não modifiquem o uso, ou tratem de reformas que possam ser caracterizadas como serviços ou obras de engenharia no âmbito do Comando da la Região Militar. </w:t>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tab/>
        <w:t xml:space="preserve">Tais serviços estão diretamente previstos no Acórdão, de forma que se adotou os percentuais da composição de "Construção de Edifícios"., tendo em vista que o objeto do presente edital tem correlação com as Subclasses </w:t>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b/>
          <w:bCs/>
          <w:sz w:val="20"/>
          <w:szCs w:val="20"/>
          <w:u w:val="single"/>
        </w:rPr>
        <w:t>Subclasse dos Códigos 41.20-4 e 4120-4100 (fonte: sítio do ÍBGE- CONCLA):</w:t>
      </w:r>
    </w:p>
    <w:p>
      <w:pPr>
        <w:pStyle w:val="Normal"/>
        <w:spacing w:line="240" w:lineRule="auto"/>
        <w:ind w:hanging="0" w:left="0" w:right="0"/>
        <w:jc w:val="center"/>
        <w:rPr>
          <w:rFonts w:ascii="Times New Roman" w:cs="Arial" w:hAnsi="Times New Roman"/>
          <w:b/>
          <w:b/>
          <w:bCs/>
          <w:sz w:val="20"/>
          <w:szCs w:val="20"/>
          <w:u w:val="single"/>
        </w:rPr>
      </w:pPr>
      <w:r>
        <w:rPr>
          <w:rFonts w:ascii="Times New Roman" w:cs="Arial" w:hAnsi="Times New Roman"/>
          <w:b/>
          <w:bCs/>
          <w:sz w:val="20"/>
          <w:szCs w:val="20"/>
          <w:u w:val="single"/>
        </w:rPr>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Seção:  E  CONSTRUÇÃO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Divisão:  41  CONSTRUÇÃO DE EDIFÍCIOS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Grupo: 41.2 Construção de edifícios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Classe: 41.20-4 Construção de edifícios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Subclasse: 4120-4/00 Construção de edifícios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r>
    </w:p>
    <w:p>
      <w:pPr>
        <w:pStyle w:val="Normal"/>
        <w:spacing w:line="240" w:lineRule="auto"/>
        <w:ind w:hanging="0" w:left="0" w:right="0"/>
        <w:jc w:val="left"/>
        <w:rPr>
          <w:rFonts w:ascii="Times New Roman" w:cs="Arial" w:hAnsi="Times New Roman"/>
          <w:b/>
          <w:b/>
          <w:bCs/>
          <w:sz w:val="20"/>
          <w:szCs w:val="20"/>
        </w:rPr>
      </w:pPr>
      <w:r>
        <w:rPr>
          <w:rFonts w:ascii="Times New Roman" w:cs="Arial" w:hAnsi="Times New Roman"/>
          <w:b/>
          <w:bCs/>
          <w:sz w:val="20"/>
          <w:szCs w:val="20"/>
          <w:u w:val="single"/>
        </w:rPr>
        <w:t xml:space="preserve">Subclasse dos Códigos 4120-4100 e 43.30-4 Obras de acabamento ('fonte: sítio do IBGE- CONCLA): </w:t>
      </w:r>
    </w:p>
    <w:p>
      <w:pPr>
        <w:pStyle w:val="Normal"/>
        <w:spacing w:line="240" w:lineRule="auto"/>
        <w:ind w:hanging="0" w:left="0" w:right="0"/>
        <w:jc w:val="center"/>
        <w:rPr>
          <w:rFonts w:ascii="Times New Roman" w:cs="Arial" w:hAnsi="Times New Roman"/>
          <w:b/>
          <w:b/>
          <w:bCs/>
          <w:sz w:val="20"/>
          <w:szCs w:val="20"/>
          <w:u w:val="single"/>
        </w:rPr>
      </w:pPr>
      <w:r>
        <w:rPr>
          <w:rFonts w:ascii="Times New Roman" w:cs="Arial" w:hAnsi="Times New Roman"/>
          <w:b/>
          <w:bCs/>
          <w:sz w:val="20"/>
          <w:szCs w:val="20"/>
          <w:u w:val="single"/>
        </w:rPr>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43.30-4 Obras de acabamento Subclasse: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4330-4/01 Impermeabilização em obras de engenharia civil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4330-4/02 Instalação de portas, janelas, tetos, divisórias e armários embutidos de qualquer material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4330-4/03 Obras de acabamento em gesso e estuque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4330-4/04 Serviços de pintura de edifícios em geral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4330-4/05 Aplicação de revestimentos e de resinas em interiores e exteriores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t xml:space="preserve">4330-4/99 Outras obras de acabamento da construção </w:t>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r>
    </w:p>
    <w:p>
      <w:pPr>
        <w:pStyle w:val="Normal"/>
        <w:spacing w:line="240" w:lineRule="auto"/>
        <w:ind w:hanging="0" w:left="2272" w:right="0"/>
        <w:jc w:val="left"/>
        <w:rPr>
          <w:rFonts w:ascii="Times New Roman" w:cs="Arial" w:hAnsi="Times New Roman"/>
          <w:b w:val="false"/>
          <w:b w:val="false"/>
          <w:bCs w:val="false"/>
          <w:sz w:val="20"/>
          <w:szCs w:val="20"/>
        </w:rPr>
      </w:pPr>
      <w:r>
        <w:rPr>
          <w:rFonts w:ascii="Times New Roman" w:cs="Arial" w:hAnsi="Times New Roman"/>
          <w:b w:val="false"/>
          <w:bCs w:val="false"/>
          <w:sz w:val="20"/>
          <w:szCs w:val="20"/>
        </w:rPr>
      </w:r>
    </w:p>
    <w:p>
      <w:pPr>
        <w:pStyle w:val="Normal"/>
        <w:spacing w:line="240" w:lineRule="auto"/>
        <w:ind w:hanging="0" w:left="0" w:right="0"/>
        <w:jc w:val="left"/>
        <w:rPr>
          <w:rFonts w:ascii="Times New Roman" w:cs="Arial" w:hAnsi="Times New Roman"/>
          <w:b/>
          <w:b/>
          <w:bCs/>
          <w:sz w:val="20"/>
          <w:szCs w:val="20"/>
          <w:u w:val="single"/>
        </w:rPr>
      </w:pPr>
      <w:r>
        <w:rPr>
          <w:rFonts w:ascii="Times New Roman" w:cs="Arial" w:hAnsi="Times New Roman"/>
          <w:b/>
          <w:bCs/>
          <w:sz w:val="20"/>
          <w:szCs w:val="20"/>
          <w:u w:val="single"/>
        </w:rPr>
        <w:t>Subclasse dos Códigos 43.21-5 e 4321-5/00 - Instalações Elétricas (fonte: sítio do IBGE- CONCLA):</w:t>
      </w:r>
    </w:p>
    <w:p>
      <w:pPr>
        <w:pStyle w:val="Normal"/>
        <w:spacing w:line="240" w:lineRule="auto"/>
        <w:ind w:hanging="0" w:left="0" w:right="0"/>
        <w:jc w:val="left"/>
        <w:rPr>
          <w:rFonts w:ascii="Times New Roman" w:cs="Arial" w:hAnsi="Times New Roman"/>
          <w:b/>
          <w:b/>
          <w:bCs/>
          <w:sz w:val="20"/>
          <w:szCs w:val="20"/>
          <w:u w:val="single"/>
        </w:rPr>
      </w:pPr>
      <w:r>
        <w:rPr>
          <w:rFonts w:ascii="Times New Roman" w:cs="Arial" w:hAnsi="Times New Roman"/>
          <w:b/>
          <w:bCs/>
          <w:sz w:val="20"/>
          <w:szCs w:val="20"/>
          <w:u w:val="single"/>
        </w:rPr>
      </w:r>
    </w:p>
    <w:p>
      <w:pPr>
        <w:pStyle w:val="Normal"/>
        <w:spacing w:line="240" w:lineRule="auto"/>
        <w:ind w:hanging="0" w:left="198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Seção: E CONSTRUÇÃO </w:t>
      </w:r>
    </w:p>
    <w:p>
      <w:pPr>
        <w:pStyle w:val="Normal"/>
        <w:spacing w:line="240" w:lineRule="auto"/>
        <w:ind w:hanging="0" w:left="1988" w:right="0"/>
        <w:jc w:val="left"/>
        <w:rPr>
          <w:rFonts w:ascii="Times New Roman" w:hAnsi="Times New Roman"/>
          <w:sz w:val="20"/>
          <w:szCs w:val="20"/>
        </w:rPr>
      </w:pPr>
      <w:r>
        <w:rPr>
          <w:rFonts w:ascii="Times New Roman" w:cs="Arial" w:hAnsi="Times New Roman"/>
          <w:b w:val="false"/>
          <w:bCs w:val="false"/>
          <w:sz w:val="20"/>
          <w:szCs w:val="20"/>
          <w:u w:val="none"/>
        </w:rPr>
        <w:t xml:space="preserve">Divisão: 43 SERVIÇOS ESPECIALIZADOS PARA CONSTRUÇÃO </w:t>
      </w:r>
    </w:p>
    <w:p>
      <w:pPr>
        <w:pStyle w:val="Normal"/>
        <w:spacing w:line="240" w:lineRule="auto"/>
        <w:ind w:hanging="0" w:left="198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Grupo: 43.2 Instalações elétricas, hidráulicas e outras instalações em construções </w:t>
      </w:r>
    </w:p>
    <w:p>
      <w:pPr>
        <w:pStyle w:val="Normal"/>
        <w:spacing w:line="240" w:lineRule="auto"/>
        <w:ind w:hanging="0" w:left="198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Classe: 43.21-5 Instalações elétricas </w:t>
      </w:r>
    </w:p>
    <w:p>
      <w:pPr>
        <w:pStyle w:val="Normal"/>
        <w:spacing w:line="240" w:lineRule="auto"/>
        <w:ind w:hanging="0" w:left="198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Subclasse: 4321-5/00 Instalação e manutenção elétrica</w:t>
      </w:r>
    </w:p>
    <w:p>
      <w:pPr>
        <w:pStyle w:val="Normal"/>
        <w:spacing w:line="240" w:lineRule="auto"/>
        <w:ind w:hanging="0" w:left="198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198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b/>
          <w:bCs/>
          <w:sz w:val="20"/>
          <w:szCs w:val="20"/>
          <w:u w:val="single"/>
        </w:rPr>
      </w:pPr>
      <w:r>
        <w:rPr>
          <w:rFonts w:ascii="Times New Roman" w:cs="Arial" w:hAnsi="Times New Roman"/>
          <w:b/>
          <w:bCs/>
          <w:sz w:val="20"/>
          <w:szCs w:val="20"/>
          <w:u w:val="single"/>
        </w:rPr>
        <w:t>Subclasse dos Códigos 43.21-5 e 4321-5/00 Instalações Hidráulicas, sanitárias e gás (fonte: sítio do IBGE- CONCLA):</w:t>
      </w:r>
    </w:p>
    <w:p>
      <w:pPr>
        <w:pStyle w:val="Normal"/>
        <w:spacing w:line="240" w:lineRule="auto"/>
        <w:ind w:hanging="0" w:left="0" w:right="0"/>
        <w:jc w:val="left"/>
        <w:rPr>
          <w:rFonts w:ascii="Times New Roman" w:cs="Arial" w:hAnsi="Times New Roman"/>
          <w:b w:val="false"/>
          <w:b w:val="false"/>
          <w:bCs w:val="false"/>
          <w:sz w:val="20"/>
          <w:szCs w:val="20"/>
          <w:u w:val="single"/>
        </w:rPr>
      </w:pPr>
      <w:r>
        <w:rPr>
          <w:rFonts w:ascii="Times New Roman" w:cs="Arial" w:hAnsi="Times New Roman"/>
          <w:b w:val="false"/>
          <w:bCs w:val="false"/>
          <w:sz w:val="20"/>
          <w:szCs w:val="20"/>
          <w:u w:val="single"/>
        </w:rPr>
      </w:r>
    </w:p>
    <w:p>
      <w:pPr>
        <w:pStyle w:val="Normal"/>
        <w:spacing w:line="240" w:lineRule="auto"/>
        <w:ind w:hanging="0" w:left="142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Seção: E CONSTRUÇÃO </w:t>
      </w:r>
    </w:p>
    <w:p>
      <w:pPr>
        <w:pStyle w:val="Normal"/>
        <w:spacing w:line="240" w:lineRule="auto"/>
        <w:ind w:hanging="0" w:left="142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Divisão: 43 SERVIÇOS ESPECIALIZADOS PARA CONSTRUÇÃO</w:t>
      </w:r>
    </w:p>
    <w:p>
      <w:pPr>
        <w:pStyle w:val="Normal"/>
        <w:spacing w:line="240" w:lineRule="auto"/>
        <w:ind w:hanging="0" w:left="142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Grupo: 43. Instalações elétricas, hidráulicas e outras instalações em construções </w:t>
      </w:r>
    </w:p>
    <w:p>
      <w:pPr>
        <w:pStyle w:val="Normal"/>
        <w:spacing w:line="240" w:lineRule="auto"/>
        <w:ind w:hanging="0" w:left="142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Classe: 43.22-3 Instalações hidráulicas, de sistemas de ventilação e refrigeração </w:t>
      </w:r>
    </w:p>
    <w:p>
      <w:pPr>
        <w:pStyle w:val="Normal"/>
        <w:spacing w:line="240" w:lineRule="auto"/>
        <w:ind w:hanging="0" w:left="142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Subclasse: 4322-3/01 Instalações hidráulicas, sanitárias e de gás </w:t>
      </w:r>
    </w:p>
    <w:p>
      <w:pPr>
        <w:pStyle w:val="Normal"/>
        <w:spacing w:line="240" w:lineRule="auto"/>
        <w:ind w:hanging="0" w:left="142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568" w:right="0"/>
        <w:jc w:val="left"/>
        <w:rPr>
          <w:rFonts w:ascii="Times New Roman" w:cs="Arial" w:hAnsi="Times New Roman"/>
          <w:b/>
          <w:b/>
          <w:bCs/>
          <w:sz w:val="20"/>
          <w:szCs w:val="20"/>
          <w:u w:val="single"/>
        </w:rPr>
      </w:pPr>
      <w:r>
        <w:rPr>
          <w:rFonts w:ascii="Times New Roman" w:cs="Arial" w:hAnsi="Times New Roman"/>
          <w:b/>
          <w:bCs/>
          <w:sz w:val="20"/>
          <w:szCs w:val="20"/>
          <w:u w:val="single"/>
        </w:rPr>
        <w:t>Fórmula de Cálculo do BDI:</w:t>
      </w:r>
    </w:p>
    <w:p>
      <w:pPr>
        <w:pStyle w:val="Normal"/>
        <w:spacing w:line="240" w:lineRule="auto"/>
        <w:ind w:hanging="0" w:left="568" w:right="0"/>
        <w:jc w:val="left"/>
        <w:rPr>
          <w:rFonts w:ascii="Times New Roman" w:hAnsi="Times New Roman"/>
          <w:sz w:val="20"/>
          <w:szCs w:val="20"/>
        </w:rPr>
      </w:pPr>
      <w:r>
        <w:rPr>
          <w:rFonts w:ascii="Times New Roman" w:cs="Arial" w:hAnsi="Times New Roman"/>
          <w:b w:val="false"/>
          <w:bCs w:val="false"/>
          <w:sz w:val="20"/>
          <w:szCs w:val="20"/>
          <w:u w:val="none"/>
        </w:rPr>
        <w:tab/>
        <w:t xml:space="preserve">0 Decreto 7.893/2013 discrimina os itens mínimos componentes do BDI, como segue: </w:t>
      </w:r>
    </w:p>
    <w:p>
      <w:pPr>
        <w:pStyle w:val="Normal"/>
        <w:spacing w:line="240" w:lineRule="auto"/>
        <w:ind w:hanging="0" w:left="56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1136" w:right="0"/>
        <w:jc w:val="left"/>
        <w:rPr>
          <w:rFonts w:ascii="Times New Roman" w:hAnsi="Times New Roman"/>
          <w:sz w:val="20"/>
          <w:szCs w:val="20"/>
        </w:rPr>
      </w:pPr>
      <w:r>
        <w:rPr>
          <w:rFonts w:ascii="Times New Roman" w:cs="Arial" w:hAnsi="Times New Roman"/>
          <w:b w:val="false"/>
          <w:bCs w:val="false"/>
          <w:sz w:val="20"/>
          <w:szCs w:val="20"/>
          <w:u w:val="none"/>
        </w:rPr>
        <w:t xml:space="preserve">Art. 90 O preço global de referência a resultante do custo  global referência acrescido do valor correspondente ao BDI, que deverá evidênciar em sua composição, no mínimo: </w:t>
      </w:r>
    </w:p>
    <w:p>
      <w:pPr>
        <w:pStyle w:val="Normal"/>
        <w:spacing w:line="240" w:lineRule="auto"/>
        <w:ind w:hanging="0" w:left="1136"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1136" w:right="0"/>
        <w:jc w:val="left"/>
        <w:rPr>
          <w:rFonts w:ascii="Times New Roman" w:hAnsi="Times New Roman"/>
          <w:sz w:val="20"/>
          <w:szCs w:val="20"/>
        </w:rPr>
      </w:pPr>
      <w:r>
        <w:rPr>
          <w:rFonts w:ascii="Times New Roman" w:cs="Arial" w:hAnsi="Times New Roman"/>
          <w:b w:val="false"/>
          <w:bCs w:val="false"/>
          <w:sz w:val="20"/>
          <w:szCs w:val="20"/>
          <w:u w:val="none"/>
        </w:rPr>
        <w:t xml:space="preserve">I -taxa de rateio da administração centra!; </w:t>
      </w:r>
    </w:p>
    <w:p>
      <w:pPr>
        <w:pStyle w:val="Normal"/>
        <w:spacing w:line="240" w:lineRule="auto"/>
        <w:ind w:hanging="0" w:left="1136"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II— Percentuais de tributos incidentes sobre o preço do serviço, excluídos aquel s de natureza direta personalística que onera contratado; </w:t>
      </w:r>
    </w:p>
    <w:p>
      <w:pPr>
        <w:pStyle w:val="Normal"/>
        <w:spacing w:line="240" w:lineRule="auto"/>
        <w:ind w:hanging="0" w:left="1136"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III - taxa de risco, seguro e garantia;</w:t>
      </w:r>
    </w:p>
    <w:p>
      <w:pPr>
        <w:pStyle w:val="Normal"/>
        <w:spacing w:line="240" w:lineRule="auto"/>
        <w:ind w:hanging="0" w:left="1136"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IV- taxa de lucro. </w:t>
      </w:r>
    </w:p>
    <w:p>
      <w:pPr>
        <w:pStyle w:val="Normal"/>
        <w:spacing w:line="240" w:lineRule="auto"/>
        <w:ind w:hanging="0" w:left="1136"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56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Para o cálculo do BDI foi considerada a esquação proposta pelo relatório que fundamentou o Acórdão n°2622/2013, ilustrada abaixo: </w:t>
      </w:r>
    </w:p>
    <w:p>
      <w:pPr>
        <w:pStyle w:val="Normal"/>
        <w:spacing w:line="240" w:lineRule="auto"/>
        <w:ind w:hanging="0" w:left="56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56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drawing>
          <wp:anchor allowOverlap="1" behindDoc="0" distB="0" distL="0" distR="0" distT="0" layoutInCell="1" locked="0" relativeHeight="4" simplePos="0">
            <wp:simplePos x="0" y="0"/>
            <wp:positionH relativeFrom="column">
              <wp:posOffset>949325</wp:posOffset>
            </wp:positionH>
            <wp:positionV relativeFrom="paragraph">
              <wp:posOffset>-61595</wp:posOffset>
            </wp:positionV>
            <wp:extent cx="3696335" cy="705485"/>
            <wp:effectExtent b="0" l="0" r="0" t="0"/>
            <wp:wrapSquare wrapText="largest"/>
            <wp:docPr desc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Figura2"/>
                    <pic:cNvPicPr>
                      <a:picLocks noChangeArrowheads="1" noChangeAspect="1"/>
                    </pic:cNvPicPr>
                  </pic:nvPicPr>
                  <pic:blipFill>
                    <a:blip r:embed="rId5"/>
                    <a:srcRect b="10560" l="2517" r="-8" t="-41"/>
                    <a:stretch>
                      <a:fillRect/>
                    </a:stretch>
                  </pic:blipFill>
                  <pic:spPr bwMode="auto">
                    <a:xfrm>
                      <a:off x="0" y="0"/>
                      <a:ext cx="3696335" cy="705485"/>
                    </a:xfrm>
                    <a:prstGeom prst="rect">
                      <a:avLst/>
                    </a:prstGeom>
                  </pic:spPr>
                </pic:pic>
              </a:graphicData>
            </a:graphic>
          </wp:anchor>
        </w:drawing>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 xml:space="preserve">Legenda: </w:t>
      </w:r>
    </w:p>
    <w:p>
      <w:pPr>
        <w:pStyle w:val="Normal"/>
        <w:spacing w:line="240" w:lineRule="auto"/>
        <w:ind w:hanging="0" w:left="568" w:right="0"/>
        <w:jc w:val="left"/>
        <w:rPr>
          <w:rFonts w:cs="Arial"/>
          <w:b/>
          <w:b/>
          <w:bCs/>
          <w:u w:val="none"/>
        </w:rPr>
      </w:pPr>
      <w:r>
        <w:rPr>
          <w:rFonts w:cs="Arial"/>
          <w:b/>
          <w:bCs/>
          <w:u w:val="none"/>
        </w:rPr>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BDI</w:t>
      </w:r>
      <w:r>
        <w:rPr>
          <w:rFonts w:ascii="Times New Roman" w:cs="Arial" w:hAnsi="Times New Roman"/>
          <w:b w:val="false"/>
          <w:bCs w:val="false"/>
          <w:sz w:val="20"/>
          <w:szCs w:val="20"/>
          <w:u w:val="none"/>
        </w:rPr>
        <w:t xml:space="preserve">— Bonificações e Despesas Indireta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Administração Central (AC)</w:t>
      </w:r>
      <w:r>
        <w:rPr>
          <w:rFonts w:ascii="Times New Roman" w:cs="Arial" w:hAnsi="Times New Roman"/>
          <w:b w:val="false"/>
          <w:bCs w:val="false"/>
          <w:sz w:val="20"/>
          <w:szCs w:val="20"/>
          <w:u w:val="none"/>
        </w:rPr>
        <w:t xml:space="preserve"> - Taxa de rateio da administração central da empresa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 xml:space="preserve">Seguros (S) </w:t>
      </w:r>
      <w:r>
        <w:rPr>
          <w:rFonts w:ascii="Times New Roman" w:cs="Arial" w:hAnsi="Times New Roman"/>
          <w:b w:val="false"/>
          <w:bCs w:val="false"/>
          <w:sz w:val="20"/>
          <w:szCs w:val="20"/>
          <w:u w:val="none"/>
        </w:rPr>
        <w:t xml:space="preserve">—Taxas representativa de seguros. Percenual sobre o total do serviço reservado corno seguro básico.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 xml:space="preserve">Riscos (R) </w:t>
      </w:r>
      <w:r>
        <w:rPr>
          <w:rFonts w:ascii="Times New Roman" w:cs="Arial" w:hAnsi="Times New Roman"/>
          <w:b w:val="false"/>
          <w:bCs w:val="false"/>
          <w:sz w:val="20"/>
          <w:szCs w:val="20"/>
          <w:u w:val="none"/>
        </w:rPr>
        <w:t xml:space="preserve">—Riscos, contingenciamentos e imprevistos.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 xml:space="preserve">Garantias (G) </w:t>
      </w:r>
      <w:r>
        <w:rPr>
          <w:rFonts w:ascii="Times New Roman" w:cs="Arial" w:hAnsi="Times New Roman"/>
          <w:b w:val="false"/>
          <w:bCs w:val="false"/>
          <w:sz w:val="20"/>
          <w:szCs w:val="20"/>
          <w:u w:val="none"/>
        </w:rPr>
        <w:t xml:space="preserve">- Ônus das garantias exigidas em edita]..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 xml:space="preserve">Despesas Financeiras (DF) </w:t>
      </w:r>
      <w:r>
        <w:rPr>
          <w:rFonts w:ascii="Times New Roman" w:cs="Arial" w:hAnsi="Times New Roman"/>
          <w:b w:val="false"/>
          <w:bCs w:val="false"/>
          <w:sz w:val="20"/>
          <w:szCs w:val="20"/>
          <w:u w:val="none"/>
        </w:rPr>
        <w:t xml:space="preserve">- Taxa representativa das despesas financeiras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Lucro(L)</w:t>
      </w:r>
      <w:r>
        <w:rPr>
          <w:rFonts w:ascii="Times New Roman" w:cs="Arial" w:hAnsi="Times New Roman"/>
          <w:b w:val="false"/>
          <w:bCs w:val="false"/>
          <w:sz w:val="20"/>
          <w:szCs w:val="20"/>
          <w:u w:val="none"/>
        </w:rPr>
        <w:t xml:space="preserve"> - Remuneração bruta da Contratada. O preço de venda.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Tributos (1)</w:t>
      </w:r>
      <w:r>
        <w:rPr>
          <w:rFonts w:ascii="Times New Roman" w:cs="Arial" w:hAnsi="Times New Roman"/>
          <w:b w:val="false"/>
          <w:bCs w:val="false"/>
          <w:sz w:val="20"/>
          <w:szCs w:val="20"/>
          <w:u w:val="none"/>
        </w:rPr>
        <w:t xml:space="preserve">- Federais e Municiapis -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 xml:space="preserve">Taxa </w:t>
      </w:r>
      <w:r>
        <w:rPr>
          <w:rFonts w:ascii="Times New Roman" w:cs="Arial" w:hAnsi="Times New Roman"/>
          <w:b w:val="false"/>
          <w:bCs w:val="false"/>
          <w:sz w:val="20"/>
          <w:szCs w:val="20"/>
          <w:u w:val="none"/>
        </w:rPr>
        <w:t xml:space="preserve">representativa dos tributos incidentes sobre </w:t>
      </w:r>
      <w:r>
        <w:rPr>
          <w:rFonts w:ascii="Times New Roman" w:cs="Arial" w:hAnsi="Times New Roman"/>
          <w:b/>
          <w:bCs/>
          <w:sz w:val="20"/>
          <w:szCs w:val="20"/>
          <w:u w:val="none"/>
        </w:rPr>
        <w:t xml:space="preserve">PIS- </w:t>
      </w:r>
      <w:r>
        <w:rPr>
          <w:rFonts w:ascii="Times New Roman" w:cs="Arial" w:hAnsi="Times New Roman"/>
          <w:b w:val="false"/>
          <w:bCs w:val="false"/>
          <w:sz w:val="20"/>
          <w:szCs w:val="20"/>
          <w:u w:val="none"/>
        </w:rPr>
        <w:t xml:space="preserve">Programa de Integração Social.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COFINS</w:t>
      </w:r>
      <w:r>
        <w:rPr>
          <w:rFonts w:ascii="Times New Roman" w:cs="Arial" w:hAnsi="Times New Roman"/>
          <w:b w:val="false"/>
          <w:bCs w:val="false"/>
          <w:sz w:val="20"/>
          <w:szCs w:val="20"/>
          <w:u w:val="none"/>
        </w:rPr>
        <w:t xml:space="preserve">- Contribuição para o Financiamento da Seguridade Social.. - ISS - Imposto Sobre Serviços de Qualquer Natureza. </w:t>
      </w:r>
    </w:p>
    <w:p>
      <w:pPr>
        <w:pStyle w:val="Normal"/>
        <w:spacing w:line="240" w:lineRule="auto"/>
        <w:ind w:hanging="0" w:left="568" w:right="0"/>
        <w:jc w:val="left"/>
        <w:rPr>
          <w:rFonts w:ascii="Times New Roman" w:hAnsi="Times New Roman"/>
          <w:sz w:val="20"/>
          <w:szCs w:val="20"/>
        </w:rPr>
      </w:pPr>
      <w:r>
        <w:rPr>
          <w:rFonts w:ascii="Times New Roman" w:cs="Arial" w:hAnsi="Times New Roman"/>
          <w:b/>
          <w:bCs/>
          <w:sz w:val="20"/>
          <w:szCs w:val="20"/>
          <w:u w:val="none"/>
        </w:rPr>
        <w:t xml:space="preserve">CPRB </w:t>
      </w:r>
      <w:r>
        <w:rPr>
          <w:rFonts w:ascii="Times New Roman" w:cs="Arial" w:hAnsi="Times New Roman"/>
          <w:b w:val="false"/>
          <w:bCs w:val="false"/>
          <w:sz w:val="20"/>
          <w:szCs w:val="20"/>
          <w:u w:val="none"/>
        </w:rPr>
        <w:t xml:space="preserve">- Contribuição Previdenciária sobre a Receita Bruta </w:t>
      </w:r>
    </w:p>
    <w:p>
      <w:pPr>
        <w:pStyle w:val="Normal"/>
        <w:spacing w:line="240" w:lineRule="auto"/>
        <w:ind w:hanging="0" w:left="56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568"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b/>
          <w:bCs/>
          <w:sz w:val="20"/>
          <w:szCs w:val="20"/>
          <w:u w:val="none"/>
        </w:rPr>
      </w:pPr>
      <w:r>
        <w:rPr>
          <w:rFonts w:ascii="Times New Roman" w:cs="Arial" w:hAnsi="Times New Roman"/>
          <w:b/>
          <w:bCs/>
          <w:sz w:val="20"/>
          <w:szCs w:val="20"/>
          <w:u w:val="none"/>
        </w:rPr>
        <w:t>4. CÁLCULO DA COMPOSIÇÃO DO BDI ADOTADO NA COMPOSIÇÃO li CUSTOS DO PROJETO:</w:t>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tab/>
        <w:t xml:space="preserve">De acordo com os estudos do Tribunal de Contas da União que fundamentaram o Acórdão n° 2.622/2013, tem-se os seguintes intervalos de admissibilidade dos componentes do BDI: </w:t>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pPr>
      <w:r>
        <w:rPr>
          <w:rFonts w:ascii="Times New Roman" w:cs="Arial" w:hAnsi="Times New Roman"/>
          <w:b w:val="false"/>
          <w:bCs w:val="false"/>
          <w:sz w:val="20"/>
          <w:szCs w:val="20"/>
          <w:u w:val="none"/>
        </w:rPr>
        <w:tab/>
      </w:r>
      <w:r>
        <w:rPr>
          <w:rFonts w:ascii="Times New Roman" w:cs="Arial" w:hAnsi="Times New Roman"/>
          <w:sz w:val="20"/>
          <w:szCs w:val="20"/>
        </w:rPr>
        <w:t xml:space="preserve">Para o caso concreto do Rio de Janeiro, temos os seguintes componentes que incidem sobe a '" composição do BD1: </w:t>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drawing>
          <wp:anchor allowOverlap="1" behindDoc="0" distB="0" distL="0" distR="0" distT="0" layoutInCell="1" locked="0" relativeHeight="11" simplePos="0">
            <wp:simplePos x="0" y="0"/>
            <wp:positionH relativeFrom="column">
              <wp:posOffset>234315</wp:posOffset>
            </wp:positionH>
            <wp:positionV relativeFrom="paragraph">
              <wp:posOffset>105410</wp:posOffset>
            </wp:positionV>
            <wp:extent cx="6214745" cy="2429510"/>
            <wp:effectExtent b="0" l="0" r="0" t="0"/>
            <wp:wrapSquare wrapText="largest"/>
            <wp:docPr descr="" id="6"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Figura12"/>
                    <pic:cNvPicPr>
                      <a:picLocks noChangeArrowheads="1" noChangeAspect="1"/>
                    </pic:cNvPicPr>
                  </pic:nvPicPr>
                  <pic:blipFill>
                    <a:blip r:embed="rId6"/>
                    <a:stretch>
                      <a:fillRect/>
                    </a:stretch>
                  </pic:blipFill>
                  <pic:spPr bwMode="auto">
                    <a:xfrm>
                      <a:off x="0" y="0"/>
                      <a:ext cx="6214745" cy="2429510"/>
                    </a:xfrm>
                    <a:prstGeom prst="rect">
                      <a:avLst/>
                    </a:prstGeom>
                  </pic:spPr>
                </pic:pic>
              </a:graphicData>
            </a:graphic>
          </wp:anchor>
        </w:drawing>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left"/>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both"/>
        <w:rPr>
          <w:rFonts w:ascii="Times New Roman" w:cs="Arial" w:hAnsi="Times New Roman"/>
          <w:sz w:val="20"/>
          <w:szCs w:val="20"/>
        </w:rPr>
      </w:pPr>
      <w:r>
        <w:rPr/>
      </w:r>
    </w:p>
    <w:p>
      <w:pPr>
        <w:pStyle w:val="Normal"/>
        <w:spacing w:line="240" w:lineRule="auto"/>
        <w:ind w:hanging="0" w:left="0" w:right="0"/>
        <w:jc w:val="both"/>
        <w:rPr>
          <w:rFonts w:ascii="Times New Roman" w:cs="Arial" w:hAnsi="Times New Roman"/>
          <w:sz w:val="20"/>
          <w:szCs w:val="20"/>
        </w:rPr>
      </w:pPr>
      <w:r>
        <w:rPr/>
      </w:r>
    </w:p>
    <w:p>
      <w:pPr>
        <w:pStyle w:val="Normal"/>
        <w:spacing w:line="240" w:lineRule="auto"/>
        <w:ind w:hanging="0" w:left="0" w:right="0"/>
        <w:jc w:val="both"/>
        <w:rPr>
          <w:rFonts w:ascii="Times New Roman" w:cs="Arial" w:hAnsi="Times New Roman"/>
          <w:sz w:val="20"/>
          <w:szCs w:val="20"/>
        </w:rPr>
      </w:pPr>
      <w:r>
        <w:rPr/>
      </w:r>
    </w:p>
    <w:p>
      <w:pPr>
        <w:pStyle w:val="Normal"/>
        <w:spacing w:line="240" w:lineRule="auto"/>
        <w:ind w:hanging="0" w:left="0" w:right="0"/>
        <w:jc w:val="both"/>
        <w:rPr>
          <w:rFonts w:ascii="Times New Roman" w:cs="Arial" w:hAnsi="Times New Roman"/>
          <w:sz w:val="20"/>
          <w:szCs w:val="20"/>
        </w:rPr>
      </w:pPr>
      <w:r>
        <w:rPr/>
      </w:r>
    </w:p>
    <w:p>
      <w:pPr>
        <w:pStyle w:val="Normal"/>
        <w:spacing w:line="240" w:lineRule="auto"/>
        <w:ind w:hanging="0" w:left="0" w:right="0"/>
        <w:jc w:val="both"/>
        <w:rPr>
          <w:rFonts w:ascii="Times New Roman" w:cs="Arial" w:hAnsi="Times New Roman"/>
          <w:sz w:val="20"/>
          <w:szCs w:val="20"/>
        </w:rPr>
      </w:pPr>
      <w:r>
        <w:rPr/>
      </w:r>
    </w:p>
    <w:p>
      <w:pPr>
        <w:pStyle w:val="Normal"/>
        <w:spacing w:line="240" w:lineRule="auto"/>
        <w:ind w:hanging="0" w:left="0" w:right="0"/>
        <w:jc w:val="both"/>
        <w:rPr>
          <w:rFonts w:ascii="Times New Roman" w:cs="Arial" w:hAnsi="Times New Roman"/>
          <w:sz w:val="20"/>
          <w:szCs w:val="20"/>
        </w:rPr>
      </w:pPr>
      <w:r>
        <w:rPr>
          <w:rFonts w:ascii="Times New Roman" w:cs="Arial" w:hAnsi="Times New Roman"/>
          <w:sz w:val="20"/>
          <w:szCs w:val="20"/>
        </w:rPr>
        <w:t xml:space="preserve">A contribuição para o Programa de Integração Social (PIS) e para a Contribuição para Financiamento da Seguridade Social (COFINS) estão previstas na Constituição Federal nos Artigos 195, 1, e 239, e suas respectivas cobranças foram instituídas pelas Leis Complementares LC 70/1991 (COFINS), LC 07/1.970 ( PIS) e LC 08/1970 (P.A.SEP). .A base de cálculo de tais contribuições é a totalidade das receitas - conceito recentemente alterado pela Lei 1.2.973/2014, o qual trataremos mais adiante - auferidas pela pessoa jurídica, o que torna essa contribuição de grande relevância dentre os tributos cobrados no país. </w:t>
      </w:r>
    </w:p>
    <w:p>
      <w:pPr>
        <w:pStyle w:val="Normal"/>
        <w:spacing w:line="240" w:lineRule="auto"/>
        <w:ind w:hanging="0" w:left="0" w:right="0"/>
        <w:jc w:val="both"/>
        <w:rPr>
          <w:rFonts w:ascii="Times New Roman" w:cs="Arial" w:hAnsi="Times New Roman"/>
          <w:sz w:val="20"/>
          <w:szCs w:val="20"/>
        </w:rPr>
      </w:pPr>
      <w:r>
        <w:rPr>
          <w:rFonts w:ascii="Times New Roman" w:cs="Arial" w:hAnsi="Times New Roman"/>
          <w:sz w:val="20"/>
          <w:szCs w:val="20"/>
        </w:rPr>
      </w:r>
    </w:p>
    <w:p>
      <w:pPr>
        <w:pStyle w:val="Normal"/>
        <w:spacing w:line="240" w:lineRule="auto"/>
        <w:ind w:hanging="0" w:left="0" w:right="0"/>
        <w:jc w:val="both"/>
        <w:rPr>
          <w:rFonts w:ascii="Times New Roman" w:cs="Arial" w:hAnsi="Times New Roman"/>
          <w:sz w:val="20"/>
          <w:szCs w:val="20"/>
        </w:rPr>
      </w:pPr>
      <w:r>
        <w:rPr>
          <w:rFonts w:ascii="Times New Roman" w:cs="Arial" w:hAnsi="Times New Roman"/>
          <w:sz w:val="20"/>
          <w:szCs w:val="20"/>
        </w:rPr>
        <w:t xml:space="preserve">Os contribuintes do PIS e da COFINS são as pessoas jurídicas de direito privado em geral, inclusive as pessoas a elas equiparadas pela legislação do Imposto de Renda, exceto as microempresas e as empresas de pequeno porte submetidas ao regime do Simples Federal (Lei 9.317/96) e, a partir de 01.07.2007, do Simples Nacional (LC 123/2006). </w:t>
      </w:r>
    </w:p>
    <w:p>
      <w:pPr>
        <w:pStyle w:val="Normal"/>
        <w:spacing w:line="240" w:lineRule="auto"/>
        <w:ind w:hanging="0" w:left="0" w:right="0"/>
        <w:jc w:val="both"/>
        <w:rPr>
          <w:rFonts w:cs="Arial"/>
        </w:rPr>
      </w:pPr>
      <w:r>
        <w:rPr>
          <w:rFonts w:cs="Arial"/>
        </w:rPr>
      </w:r>
    </w:p>
    <w:p>
      <w:pPr>
        <w:pStyle w:val="Normal"/>
        <w:spacing w:line="240" w:lineRule="auto"/>
        <w:ind w:hanging="0" w:left="0" w:right="0"/>
        <w:jc w:val="both"/>
        <w:rPr>
          <w:rFonts w:ascii="Times New Roman" w:hAnsi="Times New Roman"/>
          <w:sz w:val="20"/>
          <w:szCs w:val="20"/>
        </w:rPr>
      </w:pPr>
      <w:r>
        <w:rPr>
          <w:rFonts w:ascii="Times New Roman" w:hAnsi="Times New Roman"/>
          <w:sz w:val="20"/>
          <w:szCs w:val="20"/>
        </w:rPr>
        <w:t xml:space="preserve">O PIS (Programa de Integração Social) e a COFINS (Contribuição para Financiamento da Seguridade Social) são contribuições federais incidentes sobre receita bruta auferida pela pessoa arídica, disciplinadas por diversas leis e atos normativos. Devido à legislação esparsa, é preciso ter atenção aos diversos dispositivos em vigor, os quais podem determinar normas diferentes para cada negócio, produto e operação. </w:t>
      </w:r>
    </w:p>
    <w:p>
      <w:pPr>
        <w:pStyle w:val="Normal"/>
        <w:spacing w:line="240" w:lineRule="auto"/>
        <w:ind w:hanging="0" w:left="0" w:right="0"/>
        <w:jc w:val="both"/>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both"/>
        <w:rPr/>
      </w:pPr>
      <w:r>
        <w:rPr>
          <w:rFonts w:ascii="Times New Roman" w:hAnsi="Times New Roman"/>
          <w:sz w:val="20"/>
          <w:szCs w:val="20"/>
        </w:rPr>
        <w:t>O art. 55 da Lei n° 12.973/14, ao dar nova redação à Lei n° 10.833/03, excluiu do regime não cumulativo de Pis e Co fins as receitas decorrentes da execução por administração, empreitada ou subempreiwda, de obras de construção civil, incorridas até</w:t>
      </w:r>
    </w:p>
    <w:p>
      <w:pPr>
        <w:pStyle w:val="Normal"/>
        <w:spacing w:line="240" w:lineRule="auto"/>
        <w:ind w:hanging="0" w:left="0" w:right="0"/>
        <w:jc w:val="both"/>
        <w:rPr>
          <w:rFonts w:ascii="Times New Roman" w:hAnsi="Times New Roman"/>
          <w:sz w:val="20"/>
          <w:szCs w:val="20"/>
        </w:rPr>
      </w:pPr>
      <w:r>
        <w:rPr/>
      </w:r>
    </w:p>
    <w:p>
      <w:pPr>
        <w:pStyle w:val="Normal"/>
        <w:spacing w:line="240" w:lineRule="auto"/>
        <w:ind w:hanging="0" w:left="0" w:right="0"/>
        <w:jc w:val="both"/>
        <w:rPr>
          <w:rFonts w:ascii="Times New Roman" w:hAnsi="Times New Roman"/>
          <w:sz w:val="20"/>
          <w:szCs w:val="20"/>
        </w:rPr>
      </w:pPr>
      <w:r>
        <w:rPr/>
      </w:r>
    </w:p>
    <w:p>
      <w:pPr>
        <w:pStyle w:val="Normal"/>
        <w:spacing w:line="240" w:lineRule="auto"/>
        <w:ind w:hanging="0" w:left="0" w:right="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o ano de 2019. O art. 79 da Lei n° 13.043/14 deu nova redação, retirando a parte final onde dizia incorridas até o ano de 2019. Comisso, as atividades de construção civil permanecem no regime cumulativo mesmo que a empresa optar pelo Lucro Real. </w:t>
      </w:r>
    </w:p>
    <w:p>
      <w:pPr>
        <w:pStyle w:val="Normal"/>
        <w:spacing w:line="240" w:lineRule="auto"/>
        <w:ind w:hanging="0" w:left="0" w:right="0"/>
        <w:jc w:val="both"/>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both"/>
        <w:rPr>
          <w:rFonts w:ascii="Times New Roman" w:hAnsi="Times New Roman"/>
          <w:sz w:val="20"/>
          <w:szCs w:val="20"/>
        </w:rPr>
      </w:pPr>
      <w:r>
        <w:rPr>
          <w:rFonts w:ascii="Times New Roman" w:hAnsi="Times New Roman"/>
          <w:sz w:val="20"/>
          <w:szCs w:val="20"/>
        </w:rPr>
        <w:t xml:space="preserve">No regime cumulativo do PIS e Co fins a construtora deverá PIS, na alíquota de 0,65% sobre o faturamento, e Co fins, na alíquota de 3,00% sobre o faturaniento. </w:t>
      </w:r>
    </w:p>
    <w:p>
      <w:pPr>
        <w:pStyle w:val="Normal"/>
        <w:spacing w:line="240" w:lineRule="auto"/>
        <w:ind w:hanging="0" w:left="0" w:right="0"/>
        <w:jc w:val="both"/>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both"/>
        <w:rPr>
          <w:rFonts w:ascii="Times New Roman" w:hAnsi="Times New Roman"/>
          <w:sz w:val="20"/>
          <w:szCs w:val="20"/>
        </w:rPr>
      </w:pPr>
      <w:r>
        <w:rPr>
          <w:rFonts w:ascii="Times New Roman" w:hAnsi="Times New Roman"/>
          <w:sz w:val="20"/>
          <w:szCs w:val="20"/>
        </w:rPr>
        <w:t xml:space="preserve">O valor do ISS corresponde ao percentual definido pelo Município do Rio de Janeiro, local de faturamento da empresa licitante, de forma que a aliquota do JSS considerada neste processo é 3% do valor total do preço do serviço (Preço de Venda - PV). </w:t>
      </w:r>
    </w:p>
    <w:p>
      <w:pPr>
        <w:pStyle w:val="Normal"/>
        <w:spacing w:line="240" w:lineRule="auto"/>
        <w:ind w:hanging="0" w:left="0" w:right="0"/>
        <w:jc w:val="both"/>
        <w:rPr>
          <w:rFonts w:ascii="Times New Roman" w:hAnsi="Times New Roman"/>
          <w:sz w:val="20"/>
          <w:szCs w:val="20"/>
        </w:rPr>
      </w:pPr>
      <w:r>
        <w:rPr>
          <w:rFonts w:ascii="Times New Roman" w:hAnsi="Times New Roman"/>
          <w:sz w:val="20"/>
          <w:szCs w:val="20"/>
        </w:rPr>
      </w:r>
    </w:p>
    <w:p>
      <w:pPr>
        <w:pStyle w:val="Normal"/>
        <w:spacing w:line="240" w:lineRule="auto"/>
        <w:ind w:hanging="0" w:left="3124" w:right="0"/>
        <w:jc w:val="both"/>
        <w:rPr>
          <w:rFonts w:ascii="Times New Roman" w:hAnsi="Times New Roman"/>
          <w:sz w:val="20"/>
          <w:szCs w:val="20"/>
        </w:rPr>
      </w:pPr>
      <w:r>
        <w:rPr>
          <w:rFonts w:ascii="Times New Roman" w:hAnsi="Times New Roman"/>
          <w:sz w:val="20"/>
          <w:szCs w:val="20"/>
        </w:rPr>
        <w:t xml:space="preserve">Art. 33 - O imposto será calculado aplicando-se sobre a base de cálculo as seguintes alíquotas: (Lei no 3.691 de 28.11.2003) </w:t>
      </w:r>
    </w:p>
    <w:p>
      <w:pPr>
        <w:pStyle w:val="Normal"/>
        <w:spacing w:line="240" w:lineRule="auto"/>
        <w:ind w:hanging="0" w:left="3124" w:right="0"/>
        <w:jc w:val="left"/>
        <w:rPr>
          <w:rFonts w:ascii="Times New Roman" w:hAnsi="Times New Roman"/>
          <w:sz w:val="20"/>
          <w:szCs w:val="20"/>
        </w:rPr>
      </w:pPr>
      <w:r>
        <w:rPr>
          <w:rFonts w:ascii="Times New Roman" w:hAnsi="Times New Roman"/>
          <w:sz w:val="20"/>
          <w:szCs w:val="20"/>
        </w:rPr>
        <w:drawing>
          <wp:anchor allowOverlap="1" behindDoc="0" distB="0" distL="0" distR="0" distT="0" layoutInCell="1" locked="0" relativeHeight="5" simplePos="0">
            <wp:simplePos x="0" y="0"/>
            <wp:positionH relativeFrom="column">
              <wp:posOffset>1115695</wp:posOffset>
            </wp:positionH>
            <wp:positionV relativeFrom="paragraph">
              <wp:posOffset>635</wp:posOffset>
            </wp:positionV>
            <wp:extent cx="3484880" cy="2019300"/>
            <wp:effectExtent b="0" l="0" r="0" t="0"/>
            <wp:wrapSquare wrapText="largest"/>
            <wp:docPr desc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Figura5"/>
                    <pic:cNvPicPr>
                      <a:picLocks noChangeArrowheads="1" noChangeAspect="1"/>
                    </pic:cNvPicPr>
                  </pic:nvPicPr>
                  <pic:blipFill>
                    <a:blip r:embed="rId7"/>
                    <a:srcRect b="-12" l="-7" r="-7" t="-12"/>
                    <a:stretch>
                      <a:fillRect/>
                    </a:stretch>
                  </pic:blipFill>
                  <pic:spPr bwMode="auto">
                    <a:xfrm>
                      <a:off x="0" y="0"/>
                      <a:ext cx="3484880" cy="2019300"/>
                    </a:xfrm>
                    <a:prstGeom prst="rect">
                      <a:avLst/>
                    </a:prstGeom>
                  </pic:spPr>
                </pic:pic>
              </a:graphicData>
            </a:graphic>
          </wp:anchor>
        </w:drawing>
      </w:r>
    </w:p>
    <w:p>
      <w:pPr>
        <w:pStyle w:val="Normal"/>
        <w:spacing w:line="240" w:lineRule="auto"/>
        <w:ind w:hanging="0" w:left="3124" w:right="0"/>
        <w:jc w:val="left"/>
        <w:rPr>
          <w:rFonts w:ascii="Times New Roman" w:hAnsi="Times New Roman"/>
          <w:sz w:val="20"/>
          <w:szCs w:val="20"/>
        </w:rPr>
      </w:pPr>
      <w:r>
        <w:rPr>
          <w:rFonts w:ascii="Times New Roman" w:hAnsi="Times New Roman"/>
          <w:sz w:val="20"/>
          <w:szCs w:val="20"/>
        </w:rPr>
        <w:t xml:space="preserve">"Art 8° O Imposto sobre Serviços de Qualquer Natureza tem como fato gerador a prestação dos serviços constantes da lista a seguir: </w:t>
      </w:r>
    </w:p>
    <w:p>
      <w:pPr>
        <w:pStyle w:val="Normal"/>
        <w:spacing w:line="240" w:lineRule="auto"/>
        <w:ind w:hanging="0" w:left="3124"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 xml:space="preserve">7 - Serviços relativos a engenharia, arquitetura, geologia, urbanismo, construção civil, manutenção, limpeza, meio ambiente, saneamento e congêneres.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7.01 - Engenharia, agronomia, agrimensura, arquitetura, geologia, urbanismo, paisagismo e congêneres.</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7.02 - Execução, por administração, empreitada ou subempreitada, de obras de construção civil, hidráulica ou elétrica e de outras obras semelhantes, inclusive sondagem, perfuração de poços, escavação, drenagem e irrigação, terraplanagem, pavimentação, concretagem e a instalação e montagem de produtos, peças e equipamentos (exceto o fornecimento de mercadorias produzidas pelo prestador de serviços fora do local da prestação dos serviços, que fica sujeito ao ICMS)."</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 xml:space="preserve">A opção pela Contribuição Previdênciária sobre a Receita Bruta (CPRB) , com a prorrogação estendida até 31 de dezembro de 2023, também conhecida como desoneração da folha, deve ser realizada no 1° recolhimento da contribuição previdenciária do ano.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 xml:space="preserve">A desoneração da folha de pagamento, criada pela Lei n° 12.546/2011, permite que empresas optem por contribuir para a Previdência Social com um percentual que varia de 1% a 4,5% sobre a receita bruta em vez de recolher 20% sobre a folha de pagamento.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 xml:space="preserve">Todas as pessoas jurídicas que desenvolvem as atividades listadas nos artigos 7° e 8° Lei n° 12.546 de 2011 podem optar pela "desoneração" da folha de pagamento.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 xml:space="preserve">As empresas optantes pelo Simples Nacional com atividade de construção civil, cuja tributação é realizada com base no Anexo IV da Lei Complementar n° 123/2006 (Art. 21 da IN n° 2.053)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 xml:space="preserve">A partir de 1° de dezembro de 2015, as empresas de construção civil, optantes pela sistemática de tributação prevista na Lei n° 12.546, de 2011, enquadradas nos grupos 412, 432, 433 e 439 da CNAE 2.0, podem optar pela contribuição previdenciária de 4,5% (quatro inteiros e cinco décimos por cento) incidente sobre a receita bruta.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 xml:space="preserve">.As alíquotas da Contribuição Previdenciária sobre a Receita Bruta - CPRB estão vinculadas a atividade da empresa e varia entre 1%, e 4,5%, confira Anexo da Instrução Normativa n° 2.053/2021.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 xml:space="preserve">Anexo 1 da IN 2.053/2021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drawing>
          <wp:anchor allowOverlap="1" behindDoc="0" distB="0" distL="0" distR="0" distT="0" layoutInCell="1" locked="0" relativeHeight="6" simplePos="0">
            <wp:simplePos x="0" y="0"/>
            <wp:positionH relativeFrom="column">
              <wp:posOffset>649605</wp:posOffset>
            </wp:positionH>
            <wp:positionV relativeFrom="paragraph">
              <wp:posOffset>90170</wp:posOffset>
            </wp:positionV>
            <wp:extent cx="4502150" cy="1685290"/>
            <wp:effectExtent b="0" l="0" r="0" t="0"/>
            <wp:wrapSquare wrapText="largest"/>
            <wp:docPr desc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Figura6"/>
                    <pic:cNvPicPr>
                      <a:picLocks noChangeArrowheads="1" noChangeAspect="1"/>
                    </pic:cNvPicPr>
                  </pic:nvPicPr>
                  <pic:blipFill>
                    <a:blip r:embed="rId8"/>
                    <a:srcRect b="-19" l="-7" r="-7" t="-19"/>
                    <a:stretch>
                      <a:fillRect/>
                    </a:stretch>
                  </pic:blipFill>
                  <pic:spPr bwMode="auto">
                    <a:xfrm>
                      <a:off x="0" y="0"/>
                      <a:ext cx="4502150" cy="1685290"/>
                    </a:xfrm>
                    <a:prstGeom prst="rect">
                      <a:avLst/>
                    </a:prstGeom>
                  </pic:spPr>
                </pic:pic>
              </a:graphicData>
            </a:graphic>
          </wp:anchor>
        </w:drawing>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 xml:space="preserve">Fundamentação legal: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u w:val="single"/>
        </w:rPr>
        <w:t xml:space="preserve">Lei n° 12.546 de 2011 </w:t>
      </w:r>
    </w:p>
    <w:p>
      <w:pPr>
        <w:pStyle w:val="Normal"/>
        <w:spacing w:line="240" w:lineRule="auto"/>
        <w:ind w:hanging="0" w:left="0" w:right="0"/>
        <w:jc w:val="left"/>
        <w:rPr>
          <w:rFonts w:ascii="Times New Roman" w:hAnsi="Times New Roman"/>
          <w:sz w:val="20"/>
          <w:szCs w:val="20"/>
          <w:u w:val="single"/>
        </w:rPr>
      </w:pPr>
      <w:r>
        <w:rPr>
          <w:rFonts w:ascii="Times New Roman" w:hAnsi="Times New Roman"/>
          <w:sz w:val="20"/>
          <w:szCs w:val="20"/>
          <w:u w:val="single"/>
        </w:rPr>
      </w:r>
    </w:p>
    <w:p>
      <w:pPr>
        <w:pStyle w:val="Normal"/>
        <w:spacing w:line="240" w:lineRule="auto"/>
        <w:ind w:hanging="0" w:left="0" w:right="0"/>
        <w:jc w:val="left"/>
        <w:rPr>
          <w:rFonts w:ascii="Times New Roman" w:hAnsi="Times New Roman"/>
          <w:sz w:val="20"/>
          <w:szCs w:val="20"/>
          <w:u w:val="single"/>
        </w:rPr>
      </w:pPr>
      <w:r>
        <w:rPr>
          <w:rFonts w:ascii="Times New Roman" w:hAnsi="Times New Roman"/>
          <w:sz w:val="20"/>
          <w:szCs w:val="20"/>
          <w:u w:val="single"/>
        </w:rPr>
        <w:t xml:space="preserve">Instrução Normativa n° 2.053/2021 </w:t>
      </w:r>
    </w:p>
    <w:p>
      <w:pPr>
        <w:pStyle w:val="Normal"/>
        <w:spacing w:line="240" w:lineRule="auto"/>
        <w:ind w:hanging="0" w:left="0" w:right="0"/>
        <w:jc w:val="left"/>
        <w:rPr>
          <w:rFonts w:ascii="Times New Roman" w:hAnsi="Times New Roman"/>
          <w:sz w:val="20"/>
          <w:szCs w:val="20"/>
          <w:u w:val="single"/>
        </w:rPr>
      </w:pPr>
      <w:r>
        <w:rPr>
          <w:rFonts w:ascii="Times New Roman" w:hAnsi="Times New Roman"/>
          <w:sz w:val="20"/>
          <w:szCs w:val="20"/>
          <w:u w:val="single"/>
        </w:rPr>
        <w:t xml:space="preserve">Lei Complementar n° 123/2006 </w:t>
      </w:r>
    </w:p>
    <w:p>
      <w:pPr>
        <w:pStyle w:val="Normal"/>
        <w:spacing w:line="240" w:lineRule="auto"/>
        <w:ind w:hanging="0" w:left="0" w:right="0"/>
        <w:jc w:val="left"/>
        <w:rPr>
          <w:rFonts w:ascii="Times New Roman" w:hAnsi="Times New Roman"/>
          <w:sz w:val="20"/>
          <w:szCs w:val="20"/>
          <w:u w:val="single"/>
        </w:rPr>
      </w:pPr>
      <w:r>
        <w:rPr>
          <w:rFonts w:ascii="Times New Roman" w:hAnsi="Times New Roman"/>
          <w:sz w:val="20"/>
          <w:szCs w:val="20"/>
          <w:u w:val="single"/>
        </w:rPr>
      </w:r>
    </w:p>
    <w:p>
      <w:pPr>
        <w:pStyle w:val="Normal"/>
        <w:spacing w:line="240" w:lineRule="auto"/>
        <w:ind w:hanging="0" w:left="0" w:right="0"/>
        <w:jc w:val="left"/>
        <w:rPr>
          <w:rFonts w:ascii="Times New Roman" w:hAnsi="Times New Roman"/>
          <w:sz w:val="20"/>
          <w:szCs w:val="20"/>
          <w:u w:val="single"/>
        </w:rPr>
      </w:pPr>
      <w:r>
        <w:rPr>
          <w:rFonts w:ascii="Times New Roman" w:hAnsi="Times New Roman"/>
          <w:sz w:val="20"/>
          <w:szCs w:val="20"/>
          <w:u w:val="single"/>
        </w:rPr>
        <w:t xml:space="preserve">Lei n° 8.21.2 de 199:1 </w:t>
      </w:r>
    </w:p>
    <w:p>
      <w:pPr>
        <w:pStyle w:val="Normal"/>
        <w:spacing w:line="240" w:lineRule="auto"/>
        <w:ind w:hanging="0" w:left="0" w:right="0"/>
        <w:jc w:val="left"/>
        <w:rPr>
          <w:rFonts w:ascii="Times New Roman" w:hAnsi="Times New Roman"/>
          <w:sz w:val="20"/>
          <w:szCs w:val="20"/>
          <w:u w:val="single"/>
        </w:rPr>
      </w:pPr>
      <w:r>
        <w:rPr>
          <w:rFonts w:ascii="Times New Roman" w:hAnsi="Times New Roman"/>
          <w:sz w:val="20"/>
          <w:szCs w:val="20"/>
          <w:u w:val="single"/>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u w:val="single"/>
        </w:rPr>
        <w:t>IN no 2043/2021.</w:t>
      </w:r>
      <w:r>
        <w:rPr>
          <w:rFonts w:ascii="Times New Roman" w:hAnsi="Times New Roman"/>
          <w:sz w:val="20"/>
          <w:szCs w:val="20"/>
        </w:rPr>
        <w:t xml:space="preserve"> </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t>4.1. Cálculo da Composição do BDI (com desoneração (la mão (te obra):</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drawing>
          <wp:anchor allowOverlap="1" behindDoc="0" distB="0" distL="0" distR="0" distT="0" layoutInCell="1" locked="0" relativeHeight="12" simplePos="0">
            <wp:simplePos x="0" y="0"/>
            <wp:positionH relativeFrom="column">
              <wp:posOffset>730885</wp:posOffset>
            </wp:positionH>
            <wp:positionV relativeFrom="paragraph">
              <wp:posOffset>-72390</wp:posOffset>
            </wp:positionV>
            <wp:extent cx="4401185" cy="1720850"/>
            <wp:effectExtent b="0" l="0" r="0" t="0"/>
            <wp:wrapSquare wrapText="largest"/>
            <wp:docPr descr="" id="9"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Figura4"/>
                    <pic:cNvPicPr>
                      <a:picLocks noChangeArrowheads="1" noChangeAspect="1"/>
                    </pic:cNvPicPr>
                  </pic:nvPicPr>
                  <pic:blipFill>
                    <a:blip r:embed="rId9"/>
                    <a:stretch>
                      <a:fillRect/>
                    </a:stretch>
                  </pic:blipFill>
                  <pic:spPr bwMode="auto">
                    <a:xfrm>
                      <a:off x="0" y="0"/>
                      <a:ext cx="4401185" cy="1720850"/>
                    </a:xfrm>
                    <a:prstGeom prst="rect">
                      <a:avLst/>
                    </a:prstGeom>
                  </pic:spPr>
                </pic:pic>
              </a:graphicData>
            </a:graphic>
          </wp:anchor>
        </w:drawing>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cs="Arial" w:hAnsi="Times New Roman"/>
          <w:b/>
          <w:b/>
          <w:bCs/>
          <w:sz w:val="20"/>
          <w:szCs w:val="20"/>
          <w:u w:val="single"/>
        </w:rPr>
      </w:pPr>
      <w:r>
        <w:rPr>
          <w:rFonts w:ascii="Times New Roman" w:cs="Arial" w:hAnsi="Times New Roman"/>
          <w:b/>
          <w:bCs/>
          <w:sz w:val="20"/>
          <w:szCs w:val="20"/>
          <w:u w:val="single"/>
        </w:rPr>
        <w:t>PREÇO DE VENDA:</w:t>
      </w:r>
    </w:p>
    <w:p>
      <w:pPr>
        <w:pStyle w:val="Normal"/>
        <w:spacing w:line="240" w:lineRule="auto"/>
        <w:ind w:hanging="0" w:left="0" w:right="0"/>
        <w:jc w:val="left"/>
        <w:rPr/>
      </w:pPr>
      <w:r>
        <w:rPr>
          <w:rFonts w:ascii="Times New Roman" w:cs="Arial" w:hAnsi="Times New Roman"/>
          <w:b w:val="false"/>
          <w:bCs w:val="false"/>
          <w:sz w:val="20"/>
          <w:szCs w:val="20"/>
          <w:u w:val="none"/>
        </w:rPr>
        <w:t xml:space="preserve">Composição dos Custos Diretos:Mão de obra, materiais e Equipamentos </w:t>
      </w:r>
    </w:p>
    <w:p>
      <w:pPr>
        <w:pStyle w:val="Normal"/>
        <w:spacing w:line="240" w:lineRule="auto"/>
        <w:ind w:hanging="0" w:left="0" w:right="0"/>
        <w:jc w:val="left"/>
        <w:rPr>
          <w:rFonts w:ascii="Times New Roman" w:hAnsi="Times New Roman"/>
          <w:sz w:val="20"/>
          <w:szCs w:val="20"/>
        </w:rPr>
      </w:pPr>
      <w:r>
        <w:rPr>
          <w:rFonts w:ascii="Times New Roman" w:cs="Arial" w:hAnsi="Times New Roman"/>
          <w:b w:val="false"/>
          <w:bCs w:val="false"/>
          <w:sz w:val="20"/>
          <w:szCs w:val="20"/>
          <w:u w:val="none"/>
        </w:rPr>
        <w:t xml:space="preserve">PV= CDx (1+BDI%) </w:t>
      </w:r>
    </w:p>
    <w:p>
      <w:pPr>
        <w:pStyle w:val="Normal"/>
        <w:spacing w:line="240" w:lineRule="auto"/>
        <w:ind w:hanging="0" w:left="0" w:right="0"/>
        <w:jc w:val="left"/>
        <w:rPr/>
      </w:pPr>
      <w:r>
        <w:rPr>
          <w:rFonts w:ascii="Times New Roman" w:cs="Arial" w:hAnsi="Times New Roman"/>
          <w:b w:val="false"/>
          <w:bCs w:val="false"/>
          <w:sz w:val="20"/>
          <w:szCs w:val="20"/>
          <w:u w:val="none"/>
        </w:rPr>
        <w:t xml:space="preserve">PV = Preço de Venda </w:t>
      </w:r>
    </w:p>
    <w:p>
      <w:pPr>
        <w:pStyle w:val="Normal"/>
        <w:spacing w:line="240" w:lineRule="auto"/>
        <w:ind w:hanging="0" w:left="0" w:right="0"/>
        <w:jc w:val="left"/>
        <w:rPr/>
      </w:pPr>
      <w:r>
        <w:rPr>
          <w:rFonts w:ascii="Times New Roman" w:cs="Arial" w:hAnsi="Times New Roman"/>
          <w:b w:val="false"/>
          <w:bCs w:val="false"/>
          <w:sz w:val="20"/>
          <w:szCs w:val="20"/>
          <w:u w:val="none"/>
        </w:rPr>
        <w:t xml:space="preserve">C D Custo Direto </w:t>
      </w:r>
    </w:p>
    <w:p>
      <w:pPr>
        <w:pStyle w:val="Normal"/>
        <w:spacing w:line="240" w:lineRule="auto"/>
        <w:ind w:hanging="0" w:left="0" w:right="0"/>
        <w:jc w:val="left"/>
        <w:rPr/>
      </w:pPr>
      <w:r>
        <w:rPr>
          <w:rFonts w:ascii="Times New Roman" w:cs="Arial" w:hAnsi="Times New Roman"/>
          <w:b w:val="false"/>
          <w:bCs w:val="false"/>
          <w:sz w:val="20"/>
          <w:szCs w:val="20"/>
          <w:u w:val="none"/>
        </w:rPr>
        <w:t xml:space="preserve">BDI %= Benefícios e Despesas Indiretas </w:t>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drawing>
          <wp:anchor allowOverlap="1" behindDoc="0" distB="0" distL="0" distR="0" distT="0" layoutInCell="1" locked="0" relativeHeight="7" simplePos="0">
            <wp:simplePos x="0" y="0"/>
            <wp:positionH relativeFrom="column">
              <wp:posOffset>857885</wp:posOffset>
            </wp:positionH>
            <wp:positionV relativeFrom="paragraph">
              <wp:posOffset>-36830</wp:posOffset>
            </wp:positionV>
            <wp:extent cx="4566920" cy="2793365"/>
            <wp:effectExtent b="0" l="0" r="0" t="0"/>
            <wp:wrapSquare wrapText="bothSides"/>
            <wp:docPr desc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Figura8"/>
                    <pic:cNvPicPr>
                      <a:picLocks noChangeArrowheads="1" noChangeAspect="1"/>
                    </pic:cNvPicPr>
                  </pic:nvPicPr>
                  <pic:blipFill>
                    <a:blip r:embed="rId10"/>
                    <a:srcRect b="-12" l="-7" r="-7" t="-12"/>
                    <a:stretch>
                      <a:fillRect/>
                    </a:stretch>
                  </pic:blipFill>
                  <pic:spPr bwMode="auto">
                    <a:xfrm>
                      <a:off x="0" y="0"/>
                      <a:ext cx="4566920" cy="2793365"/>
                    </a:xfrm>
                    <a:prstGeom prst="rect">
                      <a:avLst/>
                    </a:prstGeom>
                  </pic:spPr>
                </pic:pic>
              </a:graphicData>
            </a:graphic>
          </wp:anchor>
        </w:drawing>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cs="Arial" w:hAnsi="Times New Roman"/>
          <w:b w:val="false"/>
          <w:b w:val="false"/>
          <w:bCs w:val="false"/>
          <w:sz w:val="20"/>
          <w:szCs w:val="20"/>
          <w:u w:val="none"/>
        </w:rPr>
      </w:pPr>
      <w:r>
        <w:rPr>
          <w:rFonts w:ascii="Times New Roman" w:cs="Arial" w:hAnsi="Times New Roman"/>
          <w:b w:val="false"/>
          <w:bCs w:val="false"/>
          <w:sz w:val="20"/>
          <w:szCs w:val="20"/>
          <w:u w:val="none"/>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cs="Arial" w:hAnsi="Times New Roman"/>
          <w:b/>
          <w:b/>
          <w:bCs/>
          <w:sz w:val="20"/>
          <w:szCs w:val="20"/>
        </w:rPr>
      </w:pPr>
      <w:r>
        <w:rPr>
          <w:rFonts w:ascii="Times New Roman" w:cs="Arial" w:hAnsi="Times New Roman"/>
          <w:b/>
          <w:bCs/>
          <w:sz w:val="20"/>
          <w:szCs w:val="20"/>
        </w:rPr>
      </w:r>
    </w:p>
    <w:p>
      <w:pPr>
        <w:pStyle w:val="Normal"/>
        <w:spacing w:line="240" w:lineRule="auto"/>
        <w:ind w:hanging="0" w:left="0" w:right="0"/>
        <w:jc w:val="left"/>
        <w:rPr>
          <w:rFonts w:ascii="Times New Roman" w:cs="Arial" w:hAnsi="Times New Roman"/>
          <w:b/>
          <w:b/>
          <w:bCs/>
          <w:sz w:val="20"/>
          <w:szCs w:val="20"/>
        </w:rPr>
      </w:pPr>
      <w:r>
        <w:rPr>
          <w:rFonts w:ascii="Times New Roman" w:cs="Arial" w:hAnsi="Times New Roman"/>
          <w:b/>
          <w:bCs/>
          <w:sz w:val="20"/>
          <w:szCs w:val="20"/>
        </w:rPr>
      </w:r>
    </w:p>
    <w:p>
      <w:pPr>
        <w:pStyle w:val="Normal"/>
        <w:spacing w:line="240" w:lineRule="auto"/>
        <w:ind w:hanging="0" w:left="0" w:right="0"/>
        <w:jc w:val="left"/>
        <w:rPr>
          <w:rFonts w:ascii="Times New Roman" w:cs="Arial" w:hAnsi="Times New Roman"/>
          <w:b/>
          <w:b/>
          <w:bCs/>
          <w:sz w:val="20"/>
          <w:szCs w:val="20"/>
        </w:rPr>
      </w:pPr>
      <w:r>
        <w:rPr>
          <w:rFonts w:ascii="Times New Roman" w:cs="Arial" w:hAnsi="Times New Roman"/>
          <w:b/>
          <w:bCs/>
          <w:sz w:val="20"/>
          <w:szCs w:val="20"/>
        </w:rPr>
        <w:drawing>
          <wp:anchor allowOverlap="1" behindDoc="0" distB="0" distL="0" distR="0" distT="0" layoutInCell="1" locked="0" relativeHeight="8" simplePos="0">
            <wp:simplePos x="0" y="0"/>
            <wp:positionH relativeFrom="column">
              <wp:posOffset>330835</wp:posOffset>
            </wp:positionH>
            <wp:positionV relativeFrom="paragraph">
              <wp:posOffset>142875</wp:posOffset>
            </wp:positionV>
            <wp:extent cx="5711190" cy="1498600"/>
            <wp:effectExtent b="0" l="0" r="0" t="0"/>
            <wp:wrapSquare wrapText="largest"/>
            <wp:docPr desc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Figura9"/>
                    <pic:cNvPicPr>
                      <a:picLocks noChangeArrowheads="1" noChangeAspect="1"/>
                    </pic:cNvPicPr>
                  </pic:nvPicPr>
                  <pic:blipFill>
                    <a:blip r:embed="rId11"/>
                    <a:srcRect b="-28" l="-7" r="-7" t="-28"/>
                    <a:stretch>
                      <a:fillRect/>
                    </a:stretch>
                  </pic:blipFill>
                  <pic:spPr bwMode="auto">
                    <a:xfrm>
                      <a:off x="0" y="0"/>
                      <a:ext cx="5711190" cy="1498600"/>
                    </a:xfrm>
                    <a:prstGeom prst="rect">
                      <a:avLst/>
                    </a:prstGeom>
                  </pic:spPr>
                </pic:pic>
              </a:graphicData>
            </a:graphic>
          </wp:anchor>
        </w:drawing>
      </w:r>
    </w:p>
    <w:p>
      <w:pPr>
        <w:pStyle w:val="Normal"/>
        <w:spacing w:line="240" w:lineRule="auto"/>
        <w:ind w:hanging="0" w:left="0" w:right="0"/>
        <w:jc w:val="left"/>
        <w:rPr>
          <w:rFonts w:ascii="Times New Roman" w:cs="Arial" w:hAnsi="Times New Roman"/>
          <w:b/>
          <w:b/>
          <w:bCs/>
          <w:sz w:val="20"/>
          <w:szCs w:val="20"/>
        </w:rPr>
      </w:pPr>
      <w:r>
        <w:rPr>
          <w:rFonts w:ascii="Times New Roman" w:cs="Arial" w:hAnsi="Times New Roman"/>
          <w:b/>
          <w:bCs/>
          <w:sz w:val="20"/>
          <w:szCs w:val="20"/>
        </w:rPr>
      </w:r>
    </w:p>
    <w:p>
      <w:pPr>
        <w:pStyle w:val="Normal"/>
        <w:spacing w:line="240" w:lineRule="auto"/>
        <w:ind w:hanging="0" w:left="0" w:right="0"/>
        <w:jc w:val="left"/>
        <w:rPr>
          <w:rFonts w:ascii="Times New Roman" w:cs="Arial" w:hAnsi="Times New Roman"/>
          <w:b/>
          <w:b/>
          <w:bCs/>
          <w:sz w:val="20"/>
          <w:szCs w:val="20"/>
        </w:rPr>
      </w:pPr>
      <w:r>
        <w:rPr>
          <w:rFonts w:ascii="Times New Roman" w:cs="Arial" w:hAnsi="Times New Roman"/>
          <w:b/>
          <w:bCs/>
          <w:sz w:val="20"/>
          <w:szCs w:val="20"/>
        </w:rPr>
      </w:r>
    </w:p>
    <w:p>
      <w:pPr>
        <w:pStyle w:val="Normal"/>
        <w:spacing w:line="240" w:lineRule="auto"/>
        <w:ind w:hanging="0" w:left="0" w:right="0"/>
        <w:jc w:val="left"/>
        <w:rPr/>
      </w:pPr>
      <w:r>
        <w:rPr>
          <w:rFonts w:ascii="Times New Roman" w:cs="Arial" w:hAnsi="Times New Roman"/>
          <w:b/>
          <w:bCs/>
          <w:sz w:val="20"/>
          <w:szCs w:val="20"/>
        </w:rPr>
        <w:t>ENCARGOS SOCIAIS:</w:t>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drawing>
          <wp:anchor allowOverlap="1" behindDoc="0" distB="0" distL="0" distR="0" distT="0" layoutInCell="1" locked="0" relativeHeight="9" simplePos="0">
            <wp:simplePos x="0" y="0"/>
            <wp:positionH relativeFrom="column">
              <wp:posOffset>-123825</wp:posOffset>
            </wp:positionH>
            <wp:positionV relativeFrom="paragraph">
              <wp:posOffset>118745</wp:posOffset>
            </wp:positionV>
            <wp:extent cx="6096000" cy="5370195"/>
            <wp:effectExtent b="0" l="0" r="0" t="0"/>
            <wp:wrapSquare wrapText="largest"/>
            <wp:docPr desc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Figura10"/>
                    <pic:cNvPicPr>
                      <a:picLocks noChangeArrowheads="1" noChangeAspect="1"/>
                    </pic:cNvPicPr>
                  </pic:nvPicPr>
                  <pic:blipFill>
                    <a:blip r:embed="rId12"/>
                    <a:srcRect b="-8" l="-11" r="-11" t="-8"/>
                    <a:stretch>
                      <a:fillRect/>
                    </a:stretch>
                  </pic:blipFill>
                  <pic:spPr bwMode="auto">
                    <a:xfrm>
                      <a:off x="0" y="0"/>
                      <a:ext cx="6096000" cy="5370195"/>
                    </a:xfrm>
                    <a:prstGeom prst="rect">
                      <a:avLst/>
                    </a:prstGeom>
                  </pic:spPr>
                </pic:pic>
              </a:graphicData>
            </a:graphic>
          </wp:anchor>
        </w:drawing>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sz w:val="20"/>
          <w:szCs w:val="20"/>
        </w:rPr>
      </w:r>
    </w:p>
    <w:p>
      <w:pPr>
        <w:pStyle w:val="Normal"/>
        <w:spacing w:line="240" w:lineRule="auto"/>
        <w:ind w:hanging="0" w:left="0" w:right="0"/>
        <w:jc w:val="left"/>
        <w:rPr>
          <w:rFonts w:ascii="Times New Roman" w:hAnsi="Times New Roman"/>
          <w:sz w:val="20"/>
          <w:szCs w:val="20"/>
        </w:rPr>
      </w:pPr>
      <w:r>
        <w:rPr>
          <w:rFonts w:ascii="Times New Roman" w:hAnsi="Times New Roman"/>
          <w:b/>
          <w:bCs/>
          <w:sz w:val="20"/>
          <w:szCs w:val="20"/>
          <w:u w:val="single"/>
        </w:rPr>
        <w:t xml:space="preserve">Classificação como obra ou serviço de engenharia </w:t>
      </w:r>
    </w:p>
    <w:p>
      <w:pPr>
        <w:pStyle w:val="Normal"/>
        <w:spacing w:line="240" w:lineRule="auto"/>
        <w:ind w:hanging="0" w:left="0" w:right="0"/>
        <w:jc w:val="left"/>
        <w:rPr>
          <w:rFonts w:ascii="Times New Roman" w:hAnsi="Times New Roman"/>
          <w:b/>
          <w:b/>
          <w:bCs/>
          <w:sz w:val="20"/>
          <w:szCs w:val="20"/>
          <w:u w:val="single"/>
        </w:rPr>
      </w:pPr>
      <w:r>
        <w:rPr>
          <w:rFonts w:ascii="Times New Roman" w:hAnsi="Times New Roman"/>
          <w:b/>
          <w:bCs/>
          <w:sz w:val="20"/>
          <w:szCs w:val="20"/>
          <w:u w:val="single"/>
        </w:rPr>
      </w:r>
    </w:p>
    <w:p>
      <w:pPr>
        <w:pStyle w:val="Normal"/>
        <w:spacing w:line="240" w:lineRule="auto"/>
        <w:ind w:hanging="0" w:left="0"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t xml:space="preserve">O art. 6°, incisos 1 e II da Lei n° 8.666, de 1993, estabelece as definições de obras e serviços e o Manual de Obras e Serviços de Engenharia - Advocacia-Geral da União, assim explicita: </w:t>
      </w:r>
    </w:p>
    <w:p>
      <w:pPr>
        <w:pStyle w:val="Normal"/>
        <w:spacing w:line="240" w:lineRule="auto"/>
        <w:ind w:hanging="0" w:left="0"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t xml:space="preserve">"O Parecer n. 075/2010/DECOR/CGU/AGU segue o mesmo raciocínio e propõe a seguinte solução (Item 83.4): </w:t>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t xml:space="preserve">a) Em se tratando de alteração significativa, autônoma e independente, estar-se-á adiante de obra de engenharia, vedada a adoção do pregão; </w:t>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t xml:space="preserve">b) Em se tratando de alteração não significativa, autônoma e independente, estar-se-á adiante de serviço de engenharia, cabível a adoção do pregão; </w:t>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t xml:space="preserve">Nesse ponto, há semelhança com o conceito formulado pelo Instituto Brasileiro de Auditoria de Obras Públicas - IBRAOP, para o qual reforma consiste em alterar as características de partes de uma obra ou de seu todo, desde que mantendo as características de volume ou área sem acréscimos e a função de sua utilização atual (Orientação Técnica IBR n. 02/2009). </w:t>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t xml:space="preserve">Consequentemente, serviço de engenharia é a atividade destinada a garantir a fruição de utilidade já existente ou a proporcionar a utilização de funcionalidade nova em coisa/bem material já existente. Não se cria coisa nova. Pelo contrário, o serviço consiste no conserto, na conservação, operação, 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 </w:t>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t xml:space="preserve">A distinção é relevante para a escolha da modalidade licitatória cabível, vez que apenas os serviços comuns de engenharia podem e devem ser obrigatoriamente licitados por meio de pregão, de modo que o órgão técnico deverá analisar cuidadosamente as características da atividade a ser contratada a fim de corretamente caracterizá-la como obra ou serviço de engenharia e fundamentar convincentemente a decisão adotada". </w:t>
      </w:r>
    </w:p>
    <w:p>
      <w:pPr>
        <w:pStyle w:val="Normal"/>
        <w:spacing w:line="240" w:lineRule="auto"/>
        <w:ind w:hanging="0" w:left="568" w:right="0"/>
        <w:jc w:val="left"/>
        <w:rPr>
          <w:rFonts w:ascii="Times New Roman" w:hAnsi="Times New Roman"/>
          <w:b w:val="false"/>
          <w:b w:val="false"/>
          <w:bCs w:val="false"/>
          <w:sz w:val="20"/>
          <w:szCs w:val="20"/>
          <w:u w:val="none"/>
        </w:rPr>
      </w:pPr>
      <w:r>
        <w:rPr>
          <w:rFonts w:ascii="Times New Roman" w:hAnsi="Times New Roman"/>
          <w:b w:val="false"/>
          <w:bCs w:val="false"/>
          <w:sz w:val="20"/>
          <w:szCs w:val="20"/>
          <w:u w:val="none"/>
        </w:rPr>
      </w:r>
    </w:p>
    <w:p>
      <w:pPr>
        <w:pStyle w:val="Normal"/>
        <w:spacing w:line="240" w:lineRule="auto"/>
        <w:ind w:hanging="0" w:left="568" w:right="0"/>
        <w:jc w:val="left"/>
        <w:rPr>
          <w:rFonts w:ascii="Times New Roman" w:hAnsi="Times New Roman"/>
          <w:sz w:val="20"/>
          <w:szCs w:val="20"/>
        </w:rPr>
      </w:pPr>
      <w:r>
        <w:rPr>
          <w:rFonts w:ascii="Times New Roman" w:hAnsi="Times New Roman"/>
          <w:b w:val="false"/>
          <w:bCs w:val="false"/>
          <w:sz w:val="20"/>
          <w:szCs w:val="20"/>
          <w:u w:val="none"/>
        </w:rPr>
        <w:t xml:space="preserve">Assim, compete ao setor técnico definir a natureza do objeto, sendo certo que as modalidades licitatórias previstas na nova Lei n° 14.133 deverão ser utilizadas sempre que o mesmo for passível de enquadramento como obra ou serviço não comum de engenharia. </w:t>
      </w:r>
    </w:p>
    <w:p>
      <w:pPr>
        <w:pStyle w:val="Normal"/>
        <w:ind w:hanging="0" w:left="0" w:right="0"/>
        <w:jc w:val="left"/>
        <w:rPr>
          <w:b/>
          <w:b/>
          <w:bCs/>
          <w:sz w:val="26"/>
          <w:szCs w:val="26"/>
          <w:u w:val="single"/>
        </w:rPr>
      </w:pPr>
      <w:r>
        <w:rPr>
          <w:b/>
          <w:bCs/>
          <w:sz w:val="26"/>
          <w:szCs w:val="26"/>
          <w:u w:val="single"/>
        </w:rPr>
      </w:r>
    </w:p>
    <w:p>
      <w:pPr>
        <w:pStyle w:val="Normal"/>
        <w:ind w:hanging="0" w:left="0" w:right="0"/>
        <w:jc w:val="left"/>
        <w:rPr>
          <w:b w:val="false"/>
          <w:b w:val="false"/>
          <w:bCs w:val="false"/>
          <w:sz w:val="26"/>
          <w:szCs w:val="26"/>
          <w:u w:val="none"/>
        </w:rPr>
      </w:pPr>
      <w:r>
        <w:rPr>
          <w:b w:val="false"/>
          <w:bCs w:val="false"/>
          <w:sz w:val="26"/>
          <w:szCs w:val="26"/>
          <w:u w:val="none"/>
        </w:rPr>
      </w:r>
    </w:p>
    <w:p>
      <w:pPr>
        <w:pStyle w:val="Normal"/>
        <w:ind w:hanging="0" w:left="284" w:right="0"/>
        <w:jc w:val="left"/>
        <w:rPr>
          <w:b w:val="false"/>
          <w:b w:val="false"/>
          <w:bCs w:val="false"/>
          <w:sz w:val="26"/>
          <w:szCs w:val="26"/>
          <w:u w:val="none"/>
        </w:rPr>
      </w:pPr>
      <w:r>
        <w:rPr>
          <w:b w:val="false"/>
          <w:bCs w:val="false"/>
          <w:sz w:val="26"/>
          <w:szCs w:val="26"/>
          <w:u w:val="none"/>
        </w:rPr>
      </w:r>
    </w:p>
    <w:p>
      <w:pPr>
        <w:pStyle w:val="Normal"/>
        <w:ind w:hanging="0" w:left="0" w:right="0"/>
        <w:jc w:val="left"/>
        <w:rPr/>
      </w:pPr>
      <w:r>
        <w:rPr/>
      </w:r>
    </w:p>
    <w:p>
      <w:pPr>
        <w:pStyle w:val="Normal"/>
        <w:ind w:hanging="0" w:left="0" w:right="0"/>
        <w:jc w:val="left"/>
        <w:rPr/>
      </w:pPr>
      <w:r>
        <w:rPr/>
      </w:r>
    </w:p>
    <w:p>
      <w:pPr>
        <w:pStyle w:val="Normal"/>
        <w:ind w:hanging="0" w:left="0" w:right="0"/>
        <w:jc w:val="left"/>
        <w:rPr/>
      </w:pPr>
      <w:r>
        <w:rPr/>
      </w:r>
    </w:p>
    <w:p>
      <w:pPr>
        <w:pStyle w:val="Normal"/>
        <w:ind w:hanging="0" w:left="0" w:right="0"/>
        <w:jc w:val="left"/>
        <w:rPr/>
      </w:pPr>
      <w:r>
        <w:rPr/>
      </w:r>
    </w:p>
    <w:p>
      <w:pPr>
        <w:pStyle w:val="Normal"/>
        <w:ind w:hanging="0" w:left="0" w:right="0"/>
        <w:jc w:val="left"/>
        <w:rPr/>
      </w:pPr>
      <w:r>
        <w:rPr/>
      </w:r>
    </w:p>
    <w:p>
      <w:pPr>
        <w:pStyle w:val="Normal"/>
        <w:ind w:hanging="0" w:left="0" w:right="0"/>
        <w:jc w:val="left"/>
        <w:rPr/>
      </w:pPr>
      <w:r>
        <w:rPr/>
      </w:r>
    </w:p>
    <w:p>
      <w:pPr>
        <w:pStyle w:val="Normal"/>
        <w:ind w:hanging="0" w:left="0" w:right="0"/>
        <w:jc w:val="left"/>
        <w:rPr/>
      </w:pPr>
      <w:r>
        <w:rPr/>
      </w:r>
    </w:p>
    <w:p>
      <w:pPr>
        <w:pStyle w:val="Normal"/>
        <w:ind w:hanging="0" w:left="0" w:right="0"/>
        <w:jc w:val="left"/>
        <w:rPr/>
      </w:pPr>
      <w:r>
        <w:rPr/>
      </w:r>
    </w:p>
    <w:p>
      <w:pPr>
        <w:pStyle w:val="Normal"/>
        <w:spacing w:after="120" w:before="120"/>
        <w:ind w:hanging="0" w:left="0" w:right="0"/>
        <w:jc w:val="left"/>
        <w:rPr/>
      </w:pPr>
      <w:r>
        <w:rPr/>
      </w:r>
    </w:p>
    <w:sectPr>
      <w:type w:val="nextPage"/>
      <w:pgSz w:h="16838" w:w="11906"/>
      <w:pgMar w:bottom="850" w:footer="0" w:gutter="0" w:header="0" w:left="850" w:right="850" w:top="850"/>
      <w:pgNumType w:fmt="decimal"/>
      <w:formProt w:val="false"/>
      <w:textDirection w:val="lrTb"/>
      <w:docGrid w:charSpace="5734" w:linePitch="36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TiMES NEW ROMAN">
    <w:charset w:val="00"/>
    <w:family w:val="roman"/>
    <w:pitch w:val="variable"/>
  </w:font>
</w:fonts>
</file>

<file path=word/settings.xml><?xml version="1.0" encoding="utf-8"?>
<w:settings xmlns:w="http://schemas.openxmlformats.org/wordprocessingml/2006/main">
  <w:zoom w:percent="110"/>
  <w:defaultTabStop w:val="306"/>
  <w:autoHyphenation w:val="false"/>
  <w:compat>
    <w:compatSetting w:name="compatibilityMode" w:uri="http://schemas.microsoft.com/office/word" w:val="15"/>
  </w:compat>
  <w:themeFontLang w:bidi="" w:eastAsia=""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pt-BR" w:eastAsia="en-US" w:bidi="ar-SA"/>
      </w:rPr>
    </w:rPrDefault>
    <w:pPrDefault>
      <w:pPr/>
    </w:pPrDefault>
  </w:docDefaults>
  <w:style w:type="paragraph" w:styleId="Normal">
    <w:name w:val="Normal"/>
    <w:qFormat/>
    <w:pPr>
      <w:widowControl w:val="false"/>
      <w:suppressLineNumbers/>
      <w:suppressAutoHyphens w:val="true"/>
      <w:overflowPunct w:val="false"/>
      <w:bidi w:val="0"/>
      <w:spacing w:lineRule="auto" w:line="276" w:before="120" w:after="120"/>
      <w:ind w:left="0" w:right="0" w:firstLine="1134"/>
      <w:jc w:val="both"/>
      <w:textAlignment w:val="baseline"/>
    </w:pPr>
    <w:rPr>
      <w:rFonts w:ascii="Arial" w:hAnsi="Arial" w:eastAsia="Arial" w:cs="Arial"/>
      <w:color w:val="00000A"/>
      <w:kern w:val="0"/>
      <w:sz w:val="18"/>
      <w:szCs w:val="24"/>
      <w:lang w:val="pt-BR" w:eastAsia="zh-CN" w:bidi="hi-IN"/>
    </w:rPr>
  </w:style>
  <w:style w:type="paragraph" w:styleId="Ttulo1">
    <w:name w:val="Heading 1"/>
    <w:basedOn w:val="Ttulododocumento"/>
    <w:qFormat/>
    <w:pPr>
      <w:outlineLvl w:val="0"/>
    </w:pPr>
    <w:rPr>
      <w:rFonts w:ascii="Liberation Serif" w:hAnsi="Liberation Serif" w:eastAsia="Segoe UI" w:cs="Tahoma"/>
      <w:b/>
      <w:bCs/>
      <w:sz w:val="48"/>
      <w:szCs w:val="48"/>
    </w:rPr>
  </w:style>
  <w:style w:type="character" w:styleId="DefaultParagraphFont">
    <w:name w:val="Default Paragraph Font"/>
    <w:qFormat/>
    <w:rPr/>
  </w:style>
  <w:style w:type="character" w:styleId="TextodebaloChar">
    <w:name w:val="Texto de balão Char"/>
    <w:basedOn w:val="DefaultParagraphFont"/>
    <w:qFormat/>
    <w:rPr>
      <w:rFonts w:ascii="Segoe UI" w:hAnsi="Segoe UI" w:cs="Segoe UI"/>
      <w:sz w:val="18"/>
      <w:szCs w:val="18"/>
    </w:rPr>
  </w:style>
  <w:style w:type="paragraph" w:styleId="Ttulo">
    <w:name w:val="Título"/>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Arial"/>
    </w:rPr>
  </w:style>
  <w:style w:type="paragraph" w:styleId="Ttulododocumento">
    <w:name w:val="Title"/>
    <w:basedOn w:val="Normal"/>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 w:val="24"/>
      <w:szCs w:val="24"/>
    </w:rPr>
  </w:style>
  <w:style w:type="paragraph" w:styleId="NoSpacing">
    <w:name w:val="No Spacing"/>
    <w:qFormat/>
    <w:pPr>
      <w:widowControl/>
      <w:suppressAutoHyphens w:val="true"/>
      <w:overflowPunct w:val="false"/>
      <w:bidi w:val="0"/>
      <w:spacing w:before="0" w:after="0"/>
      <w:jc w:val="left"/>
    </w:pPr>
    <w:rPr>
      <w:rFonts w:ascii="Calibri" w:hAnsi="Calibri" w:eastAsia="Calibri" w:cs="DejaVu Sans"/>
      <w:color w:val="00000A"/>
      <w:kern w:val="0"/>
      <w:sz w:val="22"/>
      <w:szCs w:val="22"/>
      <w:lang w:val="pt-BR" w:eastAsia="en-US" w:bidi="ar-SA"/>
    </w:rPr>
  </w:style>
  <w:style w:type="paragraph" w:styleId="NormalWeb">
    <w:name w:val="Normal (Web)"/>
    <w:basedOn w:val="Normal"/>
    <w:qFormat/>
    <w:pPr>
      <w:spacing w:lineRule="auto" w:line="276" w:before="280" w:after="280"/>
      <w:ind w:left="0" w:right="0" w:firstLine="1134"/>
      <w:jc w:val="both"/>
    </w:pPr>
    <w:rPr>
      <w:rFonts w:ascii="Times New Roman" w:hAnsi="Times New Roman" w:eastAsia="Times New Roman" w:cs="Times New Roman"/>
      <w:sz w:val="24"/>
      <w:szCs w:val="24"/>
      <w:lang w:eastAsia="zh-C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jc w:val="center"/>
    </w:pPr>
    <w:rPr>
      <w:b/>
      <w:bCs/>
    </w:rPr>
  </w:style>
  <w:style w:type="paragraph" w:styleId="Western">
    <w:name w:val="western"/>
    <w:basedOn w:val="Normal"/>
    <w:qFormat/>
    <w:pPr>
      <w:spacing w:lineRule="auto" w:line="288" w:before="280" w:after="142"/>
    </w:pPr>
    <w:rPr>
      <w:color w:val="000000"/>
      <w:sz w:val="24"/>
    </w:rPr>
  </w:style>
  <w:style w:type="numbering" w:styleId="NoList">
    <w:name w:val="No List"/>
    <w:qFormat/>
  </w:style>
</w:styles>
</file>

<file path=word/_rels/document.xml.rels><?xml version="1.0" encoding="UTF-8" standalone="no" ?><Relationships xmlns="http://schemas.openxmlformats.org/package/2006/relationships"><Relationship Id="rId1" Target="styles.xml" Type="http://schemas.openxmlformats.org/officeDocument/2006/relationships/styles"/><Relationship Id="rId2" Target="media/image1.wmf" Type="http://schemas.openxmlformats.org/officeDocument/2006/relationships/image"/><Relationship Id="rId3" Target="media/image2.png" Type="http://schemas.openxmlformats.org/officeDocument/2006/relationships/image"/><Relationship Id="rId4" Target="media/image3.jpeg" Type="http://schemas.openxmlformats.org/officeDocument/2006/relationships/image"/><Relationship Id="rId5" Target="media/image4.jpeg" Type="http://schemas.openxmlformats.org/officeDocument/2006/relationships/image"/><Relationship Id="rId6" Target="media/image5.png" Type="http://schemas.openxmlformats.org/officeDocument/2006/relationships/image"/><Relationship Id="rId7" Target="media/image6.jpeg" Type="http://schemas.openxmlformats.org/officeDocument/2006/relationships/image"/><Relationship Id="rId8" Target="media/image7.jpeg" Type="http://schemas.openxmlformats.org/officeDocument/2006/relationships/image"/><Relationship Id="rId9" Target="media/image8.png" Type="http://schemas.openxmlformats.org/officeDocument/2006/relationships/image"/><Relationship Id="rId10" Target="media/image9.jpeg" Type="http://schemas.openxmlformats.org/officeDocument/2006/relationships/image"/><Relationship Id="rId11" Target="media/image10.jpeg" Type="http://schemas.openxmlformats.org/officeDocument/2006/relationships/image"/><Relationship Id="rId12" Target="media/image11.jpeg" Type="http://schemas.openxmlformats.org/officeDocument/2006/relationships/image"/><Relationship Id="rId13" Target="fontTable.xml" Type="http://schemas.openxmlformats.org/officeDocument/2006/relationships/fontTable"/><Relationship Id="rId14" Target="settings.xml" Type="http://schemas.openxmlformats.org/officeDocument/2006/relationships/settings"/><Relationship Id="rId15" Target="theme/theme1.xml" Type="http://schemas.openxmlformats.org/officeDocument/2006/relationships/theme"/>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69</TotalTime>
  <Application>LibreOffice/6.2.8.2$Windows_X86_64 LibreOffice_project/f82ddfca21ebc1e222a662a32b25c0c9d20169ee</Application>
  <Pages>8</Pages>
  <Words>2000</Words>
  <Characters>11116</Characters>
  <CharactersWithSpaces>13086</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2020-03-27T11:46:00Z</dcterms:created>
  <dc:creator>SALC</dc:creator>
  <dc:description/>
  <dc:language>pt-BR</dc:language>
  <cp:lastModifiedBy/>
  <cp:lastPrinted>2024-04-16T11:26:52Z</cp:lastPrinted>
  <dcterms:modified xsi:type="dcterms:W3CDTF">2024-04-16T11:28:23Z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AppVersion" pid="2">
    <vt:lpwstr>15.0000</vt:lpwstr>
  </property>
  <property fmtid="{D5CDD505-2E9C-101B-9397-08002B2CF9AE}" name="NXPowerLiteLastOptimized" pid="3">
    <vt:lpwstr>245321</vt:lpwstr>
  </property>
  <property fmtid="{D5CDD505-2E9C-101B-9397-08002B2CF9AE}" name="NXPowerLiteSettings" pid="4">
    <vt:lpwstr>C7000400038000</vt:lpwstr>
  </property>
  <property fmtid="{D5CDD505-2E9C-101B-9397-08002B2CF9AE}" name="NXPowerLiteVersion" pid="5">
    <vt:lpwstr>S10.2.0</vt:lpwstr>
  </property>
</Properties>
</file>